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EA486" w14:textId="77777777" w:rsidR="008846B0" w:rsidRPr="004F39ED" w:rsidRDefault="008846B0" w:rsidP="00232FD2">
      <w:pPr>
        <w:jc w:val="right"/>
        <w:rPr>
          <w:rFonts w:ascii="Times New Roman" w:hAnsi="Times New Roman"/>
          <w:sz w:val="24"/>
          <w:szCs w:val="24"/>
        </w:rPr>
      </w:pPr>
    </w:p>
    <w:p w14:paraId="648AB58B" w14:textId="5FD1C534" w:rsidR="00177699" w:rsidRPr="0018416F" w:rsidRDefault="00232FD2" w:rsidP="00232FD2">
      <w:pPr>
        <w:jc w:val="right"/>
        <w:rPr>
          <w:rFonts w:ascii="Times New Roman" w:hAnsi="Times New Roman"/>
          <w:sz w:val="24"/>
          <w:szCs w:val="24"/>
          <w:lang w:val="bg-BG"/>
        </w:rPr>
      </w:pPr>
      <w:r w:rsidRPr="0018416F">
        <w:rPr>
          <w:rFonts w:ascii="Times New Roman" w:hAnsi="Times New Roman"/>
          <w:sz w:val="24"/>
          <w:szCs w:val="24"/>
          <w:lang w:val="bg-BG"/>
        </w:rPr>
        <w:t xml:space="preserve">Приложение № 1 </w:t>
      </w:r>
      <w:r w:rsidR="002623C1">
        <w:rPr>
          <w:rFonts w:ascii="Times New Roman" w:hAnsi="Times New Roman"/>
          <w:sz w:val="24"/>
          <w:szCs w:val="24"/>
          <w:lang w:val="bg-BG"/>
        </w:rPr>
        <w:t xml:space="preserve">към Заповед № </w:t>
      </w:r>
      <w:r w:rsidR="00E655F3">
        <w:rPr>
          <w:rFonts w:ascii="Times New Roman" w:hAnsi="Times New Roman"/>
          <w:sz w:val="24"/>
          <w:szCs w:val="24"/>
          <w:lang w:val="bg-BG"/>
        </w:rPr>
        <w:t>РД09-967 от 30.10.2025</w:t>
      </w:r>
      <w:bookmarkStart w:id="0" w:name="_GoBack"/>
      <w:bookmarkEnd w:id="0"/>
      <w:r w:rsidR="002623C1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386381EB" w14:textId="77777777" w:rsidR="0018416F" w:rsidRDefault="0018416F" w:rsidP="00F07187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</w:p>
    <w:p w14:paraId="5C7BE7D7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32"/>
          <w:szCs w:val="32"/>
          <w:lang w:val="bg-BG"/>
        </w:rPr>
        <w:t>Стратегически план за развитие на земеделието и селските райони на Република България за периода 2023-2027 г.</w:t>
      </w:r>
    </w:p>
    <w:p w14:paraId="187A0A49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CE94A92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3CDE716C" w14:textId="77777777"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24"/>
          <w:szCs w:val="24"/>
          <w:lang w:val="bg-BG"/>
        </w:rPr>
        <w:t xml:space="preserve">Условия за кандидатстване </w:t>
      </w:r>
    </w:p>
    <w:p w14:paraId="3CB2006B" w14:textId="77777777"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24"/>
          <w:szCs w:val="24"/>
          <w:lang w:val="bg-BG"/>
        </w:rPr>
        <w:t>със заявления за подпомагане</w:t>
      </w:r>
      <w:r w:rsidR="00560904" w:rsidRPr="0018416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77825" w:rsidRPr="0018416F">
        <w:rPr>
          <w:rFonts w:ascii="Times New Roman" w:hAnsi="Times New Roman"/>
          <w:b/>
          <w:sz w:val="24"/>
          <w:szCs w:val="24"/>
          <w:lang w:val="bg-BG"/>
        </w:rPr>
        <w:t>по процедура чрез подбор</w:t>
      </w:r>
    </w:p>
    <w:p w14:paraId="13C6EDF4" w14:textId="77777777" w:rsidR="00D65705" w:rsidRPr="0018416F" w:rsidRDefault="00D65705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1A35E64" w14:textId="77777777"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9062"/>
      </w:tblGrid>
      <w:tr w:rsidR="00177699" w:rsidRPr="00E2316B" w14:paraId="212C8323" w14:textId="77777777" w:rsidTr="00F12658">
        <w:tc>
          <w:tcPr>
            <w:tcW w:w="9062" w:type="dxa"/>
            <w:shd w:val="clear" w:color="auto" w:fill="FFC000"/>
          </w:tcPr>
          <w:p w14:paraId="0368F760" w14:textId="77777777" w:rsidR="00177699" w:rsidRPr="0018416F" w:rsidRDefault="00177699" w:rsidP="00F0718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6CE6D791" w14:textId="77777777" w:rsidR="00054A89" w:rsidRDefault="00703369" w:rsidP="008D3C0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„</w:t>
            </w:r>
            <w:r w:rsidR="00135A2A" w:rsidRPr="00135A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Подкрепа за</w:t>
            </w:r>
            <w:r w:rsidR="008D3C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оперативни групи </w:t>
            </w:r>
            <w:r w:rsidR="00595BA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(втора стъпка)</w:t>
            </w:r>
            <w:r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“ </w:t>
            </w:r>
            <w:r w:rsidR="00560904"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и</w:t>
            </w:r>
            <w:r w:rsidR="00806C5B"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нтервенция </w:t>
            </w:r>
          </w:p>
          <w:p w14:paraId="6EE8D0A1" w14:textId="77777777" w:rsidR="00177699" w:rsidRPr="00054A89" w:rsidRDefault="00595BAF" w:rsidP="00054A89">
            <w:pPr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II.Ж.1 </w:t>
            </w:r>
            <w:r w:rsidR="00A5342D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135A2A" w:rsidRP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Подкрепа за оперативни групи в рамките на Европейското</w:t>
            </w:r>
            <w:r w:rsid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135A2A" w:rsidRP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партньорство за иновации</w:t>
            </w:r>
            <w:r w:rsidR="00A5342D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“</w:t>
            </w:r>
            <w:r w:rsidR="00054A89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560904" w:rsidRPr="0018416F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от СПРЗСР 2023 – 2027 г. </w:t>
            </w:r>
            <w:r w:rsidR="00ED6637" w:rsidRPr="0018416F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bg-BG"/>
              </w:rPr>
              <w:t xml:space="preserve"> </w:t>
            </w:r>
          </w:p>
          <w:p w14:paraId="7498B389" w14:textId="77777777" w:rsidR="00177699" w:rsidRPr="0018416F" w:rsidRDefault="00177699" w:rsidP="00F0718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3AF8CA3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0B32886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34267851" w14:textId="77777777" w:rsidR="0064041F" w:rsidRPr="0018416F" w:rsidRDefault="0064041F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2E29AE2" w14:textId="77777777" w:rsidR="0064041F" w:rsidRPr="00135A2A" w:rsidRDefault="0064041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5CB9AE" w14:textId="77777777"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noProof/>
        </w:rPr>
        <w:drawing>
          <wp:inline distT="0" distB="0" distL="0" distR="0" wp14:anchorId="1D606984" wp14:editId="16BCB290">
            <wp:extent cx="1943100" cy="1988047"/>
            <wp:effectExtent l="0" t="0" r="0" b="0"/>
            <wp:docPr id="1" name="Picture 1" descr="Министерството на земеделието, храните и горите ще потърси възможности за  отпускане на държавна помощ „де минимис“ за пчелари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инистерството на земеделието, храните и горите ще потърси възможности за  отпускане на държавна помощ „де минимис“ за пчеларит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8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BF911" w14:textId="77777777"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9EC522" w14:textId="77777777"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0FD9FE4" w14:textId="77777777" w:rsidR="00177699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EBAEF1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A32779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62E1CB8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210932C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0EAFCB8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DCA87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A7F72EA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6684017" w14:textId="77777777"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6F9E54" w14:textId="77777777" w:rsidR="0018416F" w:rsidRPr="004F39ED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D19CC9E" w14:textId="77777777" w:rsidR="005B1132" w:rsidRPr="004F39ED" w:rsidRDefault="005B1132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CB838B" w14:textId="77777777" w:rsidR="00177699" w:rsidRPr="004F39ED" w:rsidRDefault="00FB6378" w:rsidP="00F071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Европейски</w:t>
      </w:r>
      <w:r w:rsidR="000E5651" w:rsidRPr="004F39ED">
        <w:rPr>
          <w:rFonts w:ascii="Times New Roman" w:hAnsi="Times New Roman"/>
          <w:b/>
          <w:sz w:val="24"/>
          <w:szCs w:val="24"/>
        </w:rPr>
        <w:t xml:space="preserve"> земеделски фонд за развитие на селските райони</w:t>
      </w:r>
    </w:p>
    <w:p w14:paraId="67824389" w14:textId="77777777"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B65C905" w14:textId="77777777"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DD8E05" w14:textId="77777777" w:rsidR="00D65705" w:rsidRDefault="000D4542" w:rsidP="00D65705">
      <w:pPr>
        <w:jc w:val="center"/>
        <w:rPr>
          <w:rFonts w:ascii="Times New Roman" w:hAnsi="Times New Roman"/>
          <w:sz w:val="24"/>
          <w:szCs w:val="24"/>
        </w:rPr>
      </w:pPr>
      <w:r w:rsidRPr="004F39ED">
        <w:rPr>
          <w:rFonts w:ascii="Times New Roman" w:hAnsi="Times New Roman"/>
          <w:sz w:val="24"/>
          <w:szCs w:val="24"/>
        </w:rPr>
        <w:t>_______</w:t>
      </w:r>
      <w:r w:rsidR="00DF329C" w:rsidRPr="004F39ED">
        <w:rPr>
          <w:rFonts w:ascii="Times New Roman" w:hAnsi="Times New Roman"/>
          <w:sz w:val="24"/>
          <w:szCs w:val="24"/>
        </w:rPr>
        <w:t>____________________________2025</w:t>
      </w:r>
      <w:r w:rsidRPr="004F39ED">
        <w:rPr>
          <w:rFonts w:ascii="Times New Roman" w:hAnsi="Times New Roman"/>
          <w:sz w:val="24"/>
          <w:szCs w:val="24"/>
        </w:rPr>
        <w:t>____________________________________</w:t>
      </w:r>
    </w:p>
    <w:p w14:paraId="009E416B" w14:textId="77777777" w:rsidR="00764367" w:rsidRDefault="00764367" w:rsidP="00D65705">
      <w:pPr>
        <w:jc w:val="center"/>
        <w:rPr>
          <w:rFonts w:ascii="Times New Roman" w:hAnsi="Times New Roman"/>
          <w:sz w:val="24"/>
          <w:szCs w:val="24"/>
        </w:rPr>
      </w:pPr>
    </w:p>
    <w:p w14:paraId="5240530D" w14:textId="77777777" w:rsidR="00764367" w:rsidRPr="004F39ED" w:rsidRDefault="00764367" w:rsidP="00D65705">
      <w:pPr>
        <w:jc w:val="center"/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bg-BG" w:eastAsia="en-GB"/>
        </w:rPr>
        <w:id w:val="407737723"/>
        <w:docPartObj>
          <w:docPartGallery w:val="Table of Contents"/>
          <w:docPartUnique/>
        </w:docPartObj>
      </w:sdtPr>
      <w:sdtEndPr>
        <w:rPr>
          <w:rFonts w:ascii="Calibri" w:hAnsi="Calibri" w:cs="Times New Roman"/>
          <w:bCs/>
          <w:noProof/>
          <w:lang w:val="en-GB"/>
        </w:rPr>
      </w:sdtEndPr>
      <w:sdtContent>
        <w:p w14:paraId="08BF07DF" w14:textId="77777777" w:rsidR="002053DF" w:rsidRPr="006435AF" w:rsidRDefault="002053DF">
          <w:pPr>
            <w:pStyle w:val="TOCHeading"/>
            <w:rPr>
              <w:rFonts w:ascii="Times New Roman" w:hAnsi="Times New Roman" w:cs="Times New Roman"/>
              <w:color w:val="auto"/>
              <w:sz w:val="24"/>
              <w:szCs w:val="24"/>
              <w:lang w:val="bg-BG"/>
            </w:rPr>
          </w:pPr>
          <w:r w:rsidRPr="006435AF">
            <w:rPr>
              <w:rFonts w:ascii="Times New Roman" w:hAnsi="Times New Roman" w:cs="Times New Roman"/>
              <w:color w:val="auto"/>
              <w:sz w:val="24"/>
              <w:szCs w:val="24"/>
              <w:lang w:val="bg-BG"/>
            </w:rPr>
            <w:t>Съдържание:</w:t>
          </w:r>
        </w:p>
        <w:p w14:paraId="239DB567" w14:textId="5D936A08" w:rsidR="00901370" w:rsidRPr="00901370" w:rsidRDefault="002053DF">
          <w:pPr>
            <w:pStyle w:val="TOC1"/>
            <w:rPr>
              <w:rFonts w:eastAsiaTheme="minorEastAsia"/>
              <w:noProof/>
              <w:lang w:val="en-GB" w:eastAsia="en-GB"/>
            </w:rPr>
          </w:pPr>
          <w:r w:rsidRPr="00595BA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95BA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95BA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12561366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1. Използвани съкращения: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_Toc212561366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3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7444FD84" w14:textId="71BF250E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67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2. Определения: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_Toc212561367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4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15BEADA3" w14:textId="4ABE9B32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68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3. Основна цел, очаквани резултати и принос към специфичните цели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_Toc212561368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9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4F180348" w14:textId="5FAED70F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69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4. Териториален обхват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_Toc212561369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10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6742BC6B" w14:textId="54254B46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0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5. Бюджет и финансови условия, в т.ч. минимален и максимален размер на допустимите разходи за един проект и интензитет на финансовата помощ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_Toc212561370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10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064337DB" w14:textId="2F36B7B9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1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6. Режим на държавна помощ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_Toc212561371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11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5BC27E03" w14:textId="40BB879A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2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7. Допустими кандидати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_Toc212561372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11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4F690E6F" w14:textId="4672991A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3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8. Условия за допустимост на кандидатите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_Toc212561373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12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0C5B8DE5" w14:textId="6EC5512E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4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9. Условия за недопустимост на кандидатите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_Toc212561374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13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2F5F4E4D" w14:textId="024CF86D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5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10. Допустими дейности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_Toc212561375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14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764BBE14" w14:textId="1DF12089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6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11. Условия за допустимост на дейностите, в т.ч. срок за изпълнение на одобрените заявления за подпомагане: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_Toc212561376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14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52C80ADD" w14:textId="6AB29F4A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7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12. Допустими разходи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_Toc212561377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16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5F559507" w14:textId="2193DFC9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8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13. Условия за допустимост на разходите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_Toc212561378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17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71431817" w14:textId="2113A3C1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79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14. Недопустими разходи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_Toc212561379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21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36000F6F" w14:textId="1D0D1F2C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80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15. Критерии за подбор, в т.ч. извършване на предварителна оценка (ако е приложимо)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_Toc212561380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21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3B5CF083" w14:textId="63396E29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81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16. Изискуеми документи, в т.ч. документи, доказващи съответствие с критерии за подбор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_Toc212561381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25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7783AD99" w14:textId="32640075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82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17. Подготовка и подаване на заявления за подпомагане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_Toc212561382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27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11A7C8E3" w14:textId="5CB856C2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83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18. Други специфични условия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_Toc212561383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28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6CD25B25" w14:textId="0D8D0C6C" w:rsidR="00901370" w:rsidRPr="00901370" w:rsidRDefault="004E7EDF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2561384" w:history="1">
            <w:r w:rsidR="00901370" w:rsidRPr="00901370">
              <w:rPr>
                <w:rStyle w:val="Hyperlink"/>
                <w:rFonts w:ascii="Times New Roman" w:hAnsi="Times New Roman" w:cs="Times New Roman"/>
                <w:noProof/>
              </w:rPr>
              <w:t>19. Приложения</w:t>
            </w:r>
            <w:r w:rsidR="00901370" w:rsidRPr="00901370">
              <w:rPr>
                <w:noProof/>
                <w:webHidden/>
              </w:rPr>
              <w:tab/>
            </w:r>
            <w:r w:rsidR="00901370" w:rsidRPr="00901370">
              <w:rPr>
                <w:noProof/>
                <w:webHidden/>
              </w:rPr>
              <w:fldChar w:fldCharType="begin"/>
            </w:r>
            <w:r w:rsidR="00901370" w:rsidRPr="00901370">
              <w:rPr>
                <w:noProof/>
                <w:webHidden/>
              </w:rPr>
              <w:instrText xml:space="preserve"> PAGEREF _Toc212561384 \h </w:instrText>
            </w:r>
            <w:r w:rsidR="00901370" w:rsidRPr="00901370">
              <w:rPr>
                <w:noProof/>
                <w:webHidden/>
              </w:rPr>
            </w:r>
            <w:r w:rsidR="00901370" w:rsidRPr="00901370">
              <w:rPr>
                <w:noProof/>
                <w:webHidden/>
              </w:rPr>
              <w:fldChar w:fldCharType="separate"/>
            </w:r>
            <w:r w:rsidR="000E33B0">
              <w:rPr>
                <w:noProof/>
                <w:webHidden/>
              </w:rPr>
              <w:t>28</w:t>
            </w:r>
            <w:r w:rsidR="00901370" w:rsidRPr="00901370">
              <w:rPr>
                <w:noProof/>
                <w:webHidden/>
              </w:rPr>
              <w:fldChar w:fldCharType="end"/>
            </w:r>
          </w:hyperlink>
        </w:p>
        <w:p w14:paraId="5CFF7A80" w14:textId="77777777" w:rsidR="002053DF" w:rsidRPr="00595BAF" w:rsidRDefault="002053DF">
          <w:r w:rsidRPr="00595BAF">
            <w:rPr>
              <w:rFonts w:ascii="Times New Roman" w:hAnsi="Times New Roman"/>
              <w:bCs/>
              <w:noProof/>
              <w:sz w:val="24"/>
              <w:szCs w:val="24"/>
            </w:rPr>
            <w:fldChar w:fldCharType="end"/>
          </w:r>
        </w:p>
      </w:sdtContent>
    </w:sdt>
    <w:p w14:paraId="500B553E" w14:textId="77777777" w:rsidR="002053DF" w:rsidRPr="004F39ED" w:rsidRDefault="002053DF" w:rsidP="00CE1ADE">
      <w:pPr>
        <w:pStyle w:val="Heading1"/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sectPr w:rsidR="002053DF" w:rsidRPr="004F39ED" w:rsidSect="00F5455A">
          <w:headerReference w:type="default" r:id="rId9"/>
          <w:footerReference w:type="default" r:id="rId10"/>
          <w:pgSz w:w="11906" w:h="16838"/>
          <w:pgMar w:top="1417" w:right="1106" w:bottom="1417" w:left="1417" w:header="708" w:footer="708" w:gutter="0"/>
          <w:cols w:space="708"/>
          <w:docGrid w:linePitch="360"/>
        </w:sectPr>
      </w:pPr>
    </w:p>
    <w:p w14:paraId="5DD21612" w14:textId="77777777"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212561366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 </w:t>
      </w:r>
      <w:r w:rsidR="00F07187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Използвани съкращения</w:t>
      </w:r>
      <w:r w:rsidR="00177699" w:rsidRPr="004F39ED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447"/>
      </w:tblGrid>
      <w:tr w:rsidR="00CE1ADE" w:rsidRPr="004F39ED" w14:paraId="6698DBA2" w14:textId="77777777" w:rsidTr="001C72D8">
        <w:tc>
          <w:tcPr>
            <w:tcW w:w="1615" w:type="dxa"/>
            <w:vAlign w:val="center"/>
          </w:tcPr>
          <w:p w14:paraId="5FA5959E" w14:textId="77777777" w:rsidR="00CE1ADE" w:rsidRPr="004F39ED" w:rsidRDefault="00551366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БФП</w:t>
            </w:r>
          </w:p>
        </w:tc>
        <w:tc>
          <w:tcPr>
            <w:tcW w:w="7447" w:type="dxa"/>
          </w:tcPr>
          <w:p w14:paraId="6E69A982" w14:textId="77777777" w:rsidR="00CE1ADE" w:rsidRPr="004F39ED" w:rsidRDefault="00551366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Безвъзмездна финансова помощ</w:t>
            </w:r>
          </w:p>
        </w:tc>
      </w:tr>
      <w:tr w:rsidR="00D44C74" w:rsidRPr="004F39ED" w14:paraId="045BEAAB" w14:textId="77777777" w:rsidTr="001C72D8">
        <w:tc>
          <w:tcPr>
            <w:tcW w:w="1615" w:type="dxa"/>
            <w:vAlign w:val="center"/>
          </w:tcPr>
          <w:p w14:paraId="112EB5FD" w14:textId="77777777"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ДДС</w:t>
            </w:r>
          </w:p>
        </w:tc>
        <w:tc>
          <w:tcPr>
            <w:tcW w:w="7447" w:type="dxa"/>
          </w:tcPr>
          <w:p w14:paraId="4808601C" w14:textId="77777777" w:rsidR="00D44C74" w:rsidRPr="004F39ED" w:rsidRDefault="00D44C74" w:rsidP="00D44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Данък добавена стойност </w:t>
            </w:r>
          </w:p>
        </w:tc>
      </w:tr>
      <w:tr w:rsidR="00D44C74" w:rsidRPr="004F39ED" w14:paraId="2B768C03" w14:textId="77777777" w:rsidTr="001C72D8">
        <w:tc>
          <w:tcPr>
            <w:tcW w:w="1615" w:type="dxa"/>
            <w:vAlign w:val="center"/>
          </w:tcPr>
          <w:p w14:paraId="55464317" w14:textId="77777777"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ДФЕС</w:t>
            </w:r>
          </w:p>
        </w:tc>
        <w:tc>
          <w:tcPr>
            <w:tcW w:w="7447" w:type="dxa"/>
          </w:tcPr>
          <w:p w14:paraId="0388A034" w14:textId="77777777"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Договора за функциониране на Европейския съюз </w:t>
            </w:r>
          </w:p>
        </w:tc>
      </w:tr>
      <w:tr w:rsidR="00D44C74" w:rsidRPr="004F39ED" w14:paraId="22A901C3" w14:textId="77777777" w:rsidTr="001C72D8">
        <w:tc>
          <w:tcPr>
            <w:tcW w:w="1615" w:type="dxa"/>
            <w:vAlign w:val="center"/>
          </w:tcPr>
          <w:p w14:paraId="7DE60D80" w14:textId="77777777"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ЗОП</w:t>
            </w:r>
          </w:p>
        </w:tc>
        <w:tc>
          <w:tcPr>
            <w:tcW w:w="7447" w:type="dxa"/>
          </w:tcPr>
          <w:p w14:paraId="7DA0F376" w14:textId="77777777"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Закон за обществените поръчки</w:t>
            </w:r>
          </w:p>
        </w:tc>
      </w:tr>
      <w:tr w:rsidR="00D1108F" w:rsidRPr="004F39ED" w14:paraId="1D55637A" w14:textId="77777777" w:rsidTr="001C72D8">
        <w:tc>
          <w:tcPr>
            <w:tcW w:w="1615" w:type="dxa"/>
            <w:vAlign w:val="center"/>
          </w:tcPr>
          <w:p w14:paraId="48B54E1C" w14:textId="77777777" w:rsidR="00D1108F" w:rsidRPr="00AA3C90" w:rsidRDefault="00D1108F" w:rsidP="002859A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7447" w:type="dxa"/>
          </w:tcPr>
          <w:p w14:paraId="6E8271D1" w14:textId="77777777" w:rsidR="00D1108F" w:rsidRPr="00AA3C90" w:rsidRDefault="00D1108F" w:rsidP="00F0718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CE1ADE" w:rsidRPr="004F39ED" w14:paraId="3CED74E5" w14:textId="77777777" w:rsidTr="001C72D8">
        <w:tc>
          <w:tcPr>
            <w:tcW w:w="1615" w:type="dxa"/>
            <w:vAlign w:val="center"/>
          </w:tcPr>
          <w:p w14:paraId="6FD5FF3B" w14:textId="77777777" w:rsidR="00CE1ADE" w:rsidRPr="004F39ED" w:rsidRDefault="000D4542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СЕУ</w:t>
            </w:r>
          </w:p>
        </w:tc>
        <w:tc>
          <w:tcPr>
            <w:tcW w:w="7447" w:type="dxa"/>
          </w:tcPr>
          <w:p w14:paraId="7FAD784F" w14:textId="77777777" w:rsidR="00CE1ADE" w:rsidRPr="004F39ED" w:rsidRDefault="000D4542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Система за електронни услуги</w:t>
            </w:r>
          </w:p>
        </w:tc>
      </w:tr>
      <w:tr w:rsidR="00F07187" w:rsidRPr="004F39ED" w14:paraId="37F95860" w14:textId="77777777" w:rsidTr="001C72D8">
        <w:tc>
          <w:tcPr>
            <w:tcW w:w="1615" w:type="dxa"/>
            <w:vAlign w:val="center"/>
          </w:tcPr>
          <w:p w14:paraId="7CAA5B51" w14:textId="77777777"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ДФЗ</w:t>
            </w:r>
          </w:p>
        </w:tc>
        <w:tc>
          <w:tcPr>
            <w:tcW w:w="7447" w:type="dxa"/>
          </w:tcPr>
          <w:p w14:paraId="2E7E225F" w14:textId="77777777"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Държавен Фонд „Земеделие“</w:t>
            </w:r>
          </w:p>
        </w:tc>
      </w:tr>
      <w:tr w:rsidR="00D44C74" w:rsidRPr="004F39ED" w14:paraId="009C7C8D" w14:textId="77777777" w:rsidTr="001C72D8">
        <w:tc>
          <w:tcPr>
            <w:tcW w:w="1615" w:type="dxa"/>
            <w:vAlign w:val="center"/>
          </w:tcPr>
          <w:p w14:paraId="73C027C0" w14:textId="77777777"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КЕП</w:t>
            </w:r>
          </w:p>
        </w:tc>
        <w:tc>
          <w:tcPr>
            <w:tcW w:w="7447" w:type="dxa"/>
          </w:tcPr>
          <w:p w14:paraId="2DC1D887" w14:textId="77777777"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Квалифициран електронен подпис</w:t>
            </w:r>
          </w:p>
        </w:tc>
      </w:tr>
      <w:tr w:rsidR="00F07187" w:rsidRPr="004F39ED" w14:paraId="0E964B51" w14:textId="77777777" w:rsidTr="001C72D8">
        <w:tc>
          <w:tcPr>
            <w:tcW w:w="1615" w:type="dxa"/>
            <w:vAlign w:val="center"/>
          </w:tcPr>
          <w:p w14:paraId="0E62E7F8" w14:textId="77777777"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МЗХ</w:t>
            </w:r>
          </w:p>
        </w:tc>
        <w:tc>
          <w:tcPr>
            <w:tcW w:w="7447" w:type="dxa"/>
          </w:tcPr>
          <w:p w14:paraId="0369D829" w14:textId="77777777"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Министерство на земеделието и храните</w:t>
            </w:r>
          </w:p>
        </w:tc>
      </w:tr>
      <w:tr w:rsidR="00D44C74" w:rsidRPr="004F39ED" w14:paraId="2194DFBC" w14:textId="77777777" w:rsidTr="001C72D8">
        <w:tc>
          <w:tcPr>
            <w:tcW w:w="1615" w:type="dxa"/>
            <w:vAlign w:val="center"/>
          </w:tcPr>
          <w:p w14:paraId="36D416EA" w14:textId="77777777"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НССЗ</w:t>
            </w:r>
          </w:p>
        </w:tc>
        <w:tc>
          <w:tcPr>
            <w:tcW w:w="7447" w:type="dxa"/>
          </w:tcPr>
          <w:p w14:paraId="017FDED9" w14:textId="77777777"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Национална служба за съвети в земеделието</w:t>
            </w:r>
          </w:p>
        </w:tc>
      </w:tr>
      <w:tr w:rsidR="00F07187" w:rsidRPr="004F39ED" w14:paraId="7B437B1A" w14:textId="77777777" w:rsidTr="001C72D8">
        <w:tc>
          <w:tcPr>
            <w:tcW w:w="1615" w:type="dxa"/>
            <w:vAlign w:val="center"/>
          </w:tcPr>
          <w:p w14:paraId="6757EBEA" w14:textId="77777777"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ЕПИ</w:t>
            </w:r>
            <w:r w:rsidR="00A9716C">
              <w:rPr>
                <w:rFonts w:ascii="Times New Roman" w:hAnsi="Times New Roman"/>
                <w:sz w:val="24"/>
                <w:szCs w:val="24"/>
              </w:rPr>
              <w:t>-АГРИ</w:t>
            </w:r>
          </w:p>
        </w:tc>
        <w:tc>
          <w:tcPr>
            <w:tcW w:w="7447" w:type="dxa"/>
          </w:tcPr>
          <w:p w14:paraId="33025354" w14:textId="77777777"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Европейското партньорство за иновации за селскостопанска производителност и устойчивост</w:t>
            </w:r>
          </w:p>
        </w:tc>
      </w:tr>
      <w:tr w:rsidR="00FB62DA" w:rsidRPr="004F39ED" w14:paraId="35600BCE" w14:textId="77777777" w:rsidTr="001C72D8">
        <w:tc>
          <w:tcPr>
            <w:tcW w:w="1615" w:type="dxa"/>
            <w:vAlign w:val="center"/>
          </w:tcPr>
          <w:p w14:paraId="66D6A07C" w14:textId="77777777" w:rsidR="00FB62DA" w:rsidRPr="004F39ED" w:rsidRDefault="00E468A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7447" w:type="dxa"/>
          </w:tcPr>
          <w:p w14:paraId="52D7A19E" w14:textId="77777777" w:rsidR="00FB62DA" w:rsidRPr="004F39ED" w:rsidRDefault="00E468A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Европейски съюз</w:t>
            </w:r>
          </w:p>
        </w:tc>
      </w:tr>
      <w:tr w:rsidR="00FB62DA" w:rsidRPr="004F39ED" w14:paraId="0BBF9D46" w14:textId="77777777" w:rsidTr="001C72D8">
        <w:tc>
          <w:tcPr>
            <w:tcW w:w="1615" w:type="dxa"/>
            <w:vAlign w:val="center"/>
          </w:tcPr>
          <w:p w14:paraId="40B1BCC5" w14:textId="77777777" w:rsidR="00FB62DA" w:rsidRPr="004F39ED" w:rsidRDefault="00E468A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ОСП</w:t>
            </w:r>
          </w:p>
        </w:tc>
        <w:tc>
          <w:tcPr>
            <w:tcW w:w="7447" w:type="dxa"/>
          </w:tcPr>
          <w:p w14:paraId="7DA3B0B9" w14:textId="77777777" w:rsidR="00FB62DA" w:rsidRPr="004F39ED" w:rsidRDefault="00E468A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Обща селскостопанска политика</w:t>
            </w:r>
          </w:p>
        </w:tc>
      </w:tr>
      <w:tr w:rsidR="00284269" w:rsidRPr="004F39ED" w14:paraId="32CC3BB2" w14:textId="77777777" w:rsidTr="001C72D8">
        <w:tc>
          <w:tcPr>
            <w:tcW w:w="1615" w:type="dxa"/>
            <w:vAlign w:val="center"/>
          </w:tcPr>
          <w:p w14:paraId="510147D7" w14:textId="77777777" w:rsidR="00284269" w:rsidRPr="004F39ED" w:rsidRDefault="00284269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ПРСР</w:t>
            </w:r>
          </w:p>
        </w:tc>
        <w:tc>
          <w:tcPr>
            <w:tcW w:w="7447" w:type="dxa"/>
          </w:tcPr>
          <w:p w14:paraId="392DF2E6" w14:textId="77777777" w:rsidR="00284269" w:rsidRPr="004F39ED" w:rsidRDefault="00284269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– 2020 г.</w:t>
            </w:r>
          </w:p>
        </w:tc>
      </w:tr>
      <w:tr w:rsidR="00E468A4" w:rsidRPr="004F39ED" w14:paraId="20018D63" w14:textId="77777777" w:rsidTr="001C72D8">
        <w:tc>
          <w:tcPr>
            <w:tcW w:w="1615" w:type="dxa"/>
            <w:vAlign w:val="center"/>
          </w:tcPr>
          <w:p w14:paraId="601AE2D8" w14:textId="77777777" w:rsidR="00E468A4" w:rsidRPr="004F39ED" w:rsidRDefault="00771598" w:rsidP="0077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bCs/>
                <w:sz w:val="24"/>
                <w:szCs w:val="24"/>
              </w:rPr>
              <w:t xml:space="preserve">СПРЗСР </w:t>
            </w:r>
          </w:p>
        </w:tc>
        <w:tc>
          <w:tcPr>
            <w:tcW w:w="7447" w:type="dxa"/>
          </w:tcPr>
          <w:p w14:paraId="027D67BE" w14:textId="77777777" w:rsidR="00E468A4" w:rsidRPr="004F39ED" w:rsidRDefault="00771598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Стратегически план за развитие на земеделието и селските райони на Република България за периода 2023-2027 г.</w:t>
            </w:r>
          </w:p>
        </w:tc>
      </w:tr>
      <w:tr w:rsidR="001C72D8" w:rsidRPr="004F39ED" w14:paraId="59455E19" w14:textId="77777777" w:rsidTr="001C72D8">
        <w:tc>
          <w:tcPr>
            <w:tcW w:w="1615" w:type="dxa"/>
            <w:vAlign w:val="center"/>
          </w:tcPr>
          <w:p w14:paraId="7699CCA1" w14:textId="77777777" w:rsidR="001C72D8" w:rsidRPr="004F39ED" w:rsidRDefault="001C72D8" w:rsidP="007715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ED">
              <w:rPr>
                <w:rFonts w:ascii="Times New Roman" w:hAnsi="Times New Roman"/>
                <w:bCs/>
                <w:sz w:val="24"/>
                <w:szCs w:val="24"/>
              </w:rPr>
              <w:t>Наредба № 4 от 25 октомври 2024 г.</w:t>
            </w:r>
          </w:p>
        </w:tc>
        <w:tc>
          <w:tcPr>
            <w:tcW w:w="7447" w:type="dxa"/>
          </w:tcPr>
          <w:p w14:paraId="054C4024" w14:textId="77777777" w:rsidR="001C72D8" w:rsidRPr="004F39ED" w:rsidRDefault="001C72D8" w:rsidP="009D49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Наредба № 4 от 25 октомври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 – 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</w:t>
            </w:r>
            <w:r w:rsidR="009D49AB" w:rsidRPr="004F3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537C7B0" w14:textId="77777777" w:rsidR="002859A7" w:rsidRPr="004F39ED" w:rsidRDefault="002859A7" w:rsidP="00177699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  <w:sectPr w:rsidR="002859A7" w:rsidRPr="004F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F48646" w14:textId="77777777" w:rsidR="00177699" w:rsidRDefault="00CA4E27" w:rsidP="00177699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212561367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2. </w:t>
      </w:r>
      <w:r w:rsidR="00177699" w:rsidRPr="004F39ED">
        <w:rPr>
          <w:rFonts w:ascii="Times New Roman" w:hAnsi="Times New Roman" w:cs="Times New Roman"/>
          <w:b/>
          <w:color w:val="auto"/>
          <w:sz w:val="28"/>
          <w:szCs w:val="28"/>
        </w:rPr>
        <w:t>Определения:</w:t>
      </w:r>
      <w:bookmarkEnd w:id="2"/>
    </w:p>
    <w:p w14:paraId="5AD01561" w14:textId="77777777" w:rsidR="00603B35" w:rsidRDefault="00603B35" w:rsidP="008D61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03B35" w14:paraId="7951998A" w14:textId="77777777" w:rsidTr="002B6786">
        <w:tc>
          <w:tcPr>
            <w:tcW w:w="3397" w:type="dxa"/>
            <w:vAlign w:val="center"/>
          </w:tcPr>
          <w:p w14:paraId="7BD0FDEE" w14:textId="77777777" w:rsidR="00603B35" w:rsidRDefault="00603B35" w:rsidP="00603B35">
            <w:pPr>
              <w:rPr>
                <w:lang w:val="bg-BG" w:eastAsia="en-US"/>
              </w:rPr>
            </w:pPr>
            <w:r w:rsidRPr="00FF727D">
              <w:rPr>
                <w:rFonts w:ascii="Times New Roman" w:hAnsi="Times New Roman"/>
                <w:sz w:val="24"/>
                <w:szCs w:val="24"/>
              </w:rPr>
              <w:t>AKIS</w:t>
            </w:r>
          </w:p>
        </w:tc>
        <w:tc>
          <w:tcPr>
            <w:tcW w:w="5665" w:type="dxa"/>
          </w:tcPr>
          <w:p w14:paraId="1BAA8F8B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>Означава комбинацията от организацията и обмена на знания между лицата, организациите и институциите, които използват и генерират знания в сферата на селското стопанство и взаимосвързаните области (</w:t>
            </w:r>
            <w:r w:rsidRPr="00627E59">
              <w:rPr>
                <w:rFonts w:ascii="Times New Roman" w:hAnsi="Times New Roman"/>
                <w:sz w:val="24"/>
                <w:szCs w:val="24"/>
              </w:rPr>
              <w:t xml:space="preserve">Agricultural knowledge and innovation system </w:t>
            </w:r>
            <w:r w:rsidRPr="00FF72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386A">
              <w:rPr>
                <w:rFonts w:ascii="Times New Roman" w:hAnsi="Times New Roman"/>
                <w:sz w:val="24"/>
                <w:szCs w:val="24"/>
              </w:rPr>
              <w:t>Система за знания и иновации в селското стопанство)</w:t>
            </w:r>
          </w:p>
        </w:tc>
      </w:tr>
      <w:tr w:rsidR="00603B35" w14:paraId="25B7BCEF" w14:textId="77777777" w:rsidTr="002B6786">
        <w:tc>
          <w:tcPr>
            <w:tcW w:w="3397" w:type="dxa"/>
            <w:vAlign w:val="center"/>
          </w:tcPr>
          <w:p w14:paraId="4A7C3F5D" w14:textId="77777777" w:rsidR="00603B35" w:rsidRDefault="00603B35" w:rsidP="00603B35">
            <w:pPr>
              <w:rPr>
                <w:lang w:val="bg-BG" w:eastAsia="en-U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Браншова организация за производство и преработка на селскостопански продукти</w:t>
            </w:r>
          </w:p>
        </w:tc>
        <w:tc>
          <w:tcPr>
            <w:tcW w:w="5665" w:type="dxa"/>
          </w:tcPr>
          <w:p w14:paraId="1B97B2EC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18416F">
              <w:rPr>
                <w:rFonts w:ascii="Times New Roman" w:hAnsi="Times New Roman"/>
                <w:sz w:val="24"/>
                <w:szCs w:val="24"/>
                <w:lang w:val="bg-BG"/>
              </w:rPr>
              <w:t>За целите на процедурата се приема, че „Браншова организация за производство и преработка на селскостопански продукти“ е юридическо лице, учредено и регистрирано по реда на Закона за кооперациите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</w:t>
            </w:r>
            <w:r w:rsidRPr="00273B54">
              <w:rPr>
                <w:rFonts w:ascii="Times New Roman" w:hAnsi="Times New Roman"/>
                <w:sz w:val="24"/>
                <w:szCs w:val="24"/>
              </w:rPr>
              <w:t xml:space="preserve">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</w:r>
          </w:p>
        </w:tc>
      </w:tr>
      <w:tr w:rsidR="00603B35" w14:paraId="3E634852" w14:textId="77777777" w:rsidTr="002B6786">
        <w:tc>
          <w:tcPr>
            <w:tcW w:w="3397" w:type="dxa"/>
            <w:vAlign w:val="center"/>
          </w:tcPr>
          <w:p w14:paraId="14D7F551" w14:textId="77777777" w:rsidR="00603B35" w:rsidRDefault="00603B35" w:rsidP="00603B35">
            <w:pPr>
              <w:rPr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Pr="00A75156">
              <w:rPr>
                <w:rFonts w:ascii="Times New Roman" w:hAnsi="Times New Roman"/>
                <w:sz w:val="24"/>
                <w:szCs w:val="24"/>
              </w:rPr>
              <w:t>обро финансово управление</w:t>
            </w:r>
          </w:p>
        </w:tc>
        <w:tc>
          <w:tcPr>
            <w:tcW w:w="5665" w:type="dxa"/>
          </w:tcPr>
          <w:p w14:paraId="3BEAEBC2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Pr="00A75156">
              <w:rPr>
                <w:rFonts w:ascii="Times New Roman" w:hAnsi="Times New Roman"/>
                <w:sz w:val="24"/>
                <w:szCs w:val="24"/>
              </w:rPr>
              <w:t>обро финансово управление</w:t>
            </w:r>
            <w:proofErr w:type="gramStart"/>
            <w:r w:rsidRPr="00A75156">
              <w:rPr>
                <w:rFonts w:ascii="Times New Roman" w:hAnsi="Times New Roman"/>
                <w:sz w:val="24"/>
                <w:szCs w:val="24"/>
              </w:rPr>
              <w:t>“ означава</w:t>
            </w:r>
            <w:proofErr w:type="gramEnd"/>
            <w:r w:rsidRPr="00A75156">
              <w:rPr>
                <w:rFonts w:ascii="Times New Roman" w:hAnsi="Times New Roman"/>
                <w:sz w:val="24"/>
                <w:szCs w:val="24"/>
              </w:rPr>
              <w:t xml:space="preserve"> изпълнение на бюджета в съответствие с принципите на икономи</w:t>
            </w:r>
            <w:r>
              <w:rPr>
                <w:rFonts w:ascii="Times New Roman" w:hAnsi="Times New Roman"/>
                <w:sz w:val="24"/>
                <w:szCs w:val="24"/>
              </w:rPr>
              <w:t>чност, ефикасност и ефективност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603B35" w14:paraId="1B298787" w14:textId="77777777" w:rsidTr="002B6786">
        <w:tc>
          <w:tcPr>
            <w:tcW w:w="3397" w:type="dxa"/>
            <w:vAlign w:val="center"/>
          </w:tcPr>
          <w:p w14:paraId="01DA3946" w14:textId="77777777" w:rsidR="00603B35" w:rsidRDefault="00603B35" w:rsidP="00603B35">
            <w:pPr>
              <w:rPr>
                <w:lang w:val="bg-BG" w:eastAsia="en-US"/>
              </w:rPr>
            </w:pPr>
            <w:r w:rsidRPr="00AA3C90">
              <w:rPr>
                <w:rFonts w:ascii="Times New Roman" w:hAnsi="Times New Roman"/>
                <w:sz w:val="24"/>
                <w:szCs w:val="24"/>
                <w:lang w:val="bg-BG"/>
              </w:rPr>
              <w:t>Екосистемните услуги</w:t>
            </w:r>
          </w:p>
        </w:tc>
        <w:tc>
          <w:tcPr>
            <w:tcW w:w="5665" w:type="dxa"/>
          </w:tcPr>
          <w:p w14:paraId="2BD3F0D9" w14:textId="77777777" w:rsidR="00603B35" w:rsidRPr="00AA3C90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Екосистемни услуги </w:t>
            </w:r>
            <w:r w:rsidRPr="00AA3C90">
              <w:rPr>
                <w:rFonts w:ascii="Times New Roman" w:hAnsi="Times New Roman"/>
                <w:sz w:val="24"/>
                <w:szCs w:val="24"/>
                <w:lang w:val="bg-BG"/>
              </w:rPr>
              <w:t>са услугите, които осигурява дадена екосистема и от които зависят хората.</w:t>
            </w:r>
          </w:p>
          <w:p w14:paraId="7CCB7412" w14:textId="77777777" w:rsidR="00603B35" w:rsidRPr="00AA3C90" w:rsidRDefault="00603B35" w:rsidP="00603B35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Екосистемните услуги, от които се ползват хората, често се категоризират, както следва:</w:t>
            </w:r>
          </w:p>
          <w:p w14:paraId="2430D312" w14:textId="77777777" w:rsidR="00603B35" w:rsidRPr="00AA3C90" w:rsidRDefault="00603B35" w:rsidP="00603B35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материални услуги, като храна, вода, дървен материал, влакна и генетични ресурси;</w:t>
            </w:r>
          </w:p>
          <w:p w14:paraId="001E2F30" w14:textId="77777777" w:rsidR="00603B35" w:rsidRPr="00AA3C90" w:rsidRDefault="00603B35" w:rsidP="00603B35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регулиращи услуги, като регулиране на климата, наводненията, заболяванията и качеството на водите;</w:t>
            </w:r>
          </w:p>
          <w:p w14:paraId="2104E928" w14:textId="77777777" w:rsidR="00603B35" w:rsidRDefault="00603B35" w:rsidP="00603B35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културни услуги, като отдих и екотуризъм;</w:t>
            </w:r>
          </w:p>
          <w:p w14:paraId="54715728" w14:textId="77777777" w:rsidR="00603B35" w:rsidRPr="00967EE5" w:rsidRDefault="00967EE5" w:rsidP="00603B35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поддържащи услуги, като почвообразуване, опрашване и кръговрат на хранителните вещества.</w:t>
            </w:r>
          </w:p>
        </w:tc>
      </w:tr>
      <w:tr w:rsidR="00603B35" w14:paraId="429BFB00" w14:textId="77777777" w:rsidTr="002B6786">
        <w:tc>
          <w:tcPr>
            <w:tcW w:w="3397" w:type="dxa"/>
            <w:vAlign w:val="center"/>
          </w:tcPr>
          <w:p w14:paraId="23411266" w14:textId="77777777" w:rsidR="00603B35" w:rsidRDefault="00603B35" w:rsidP="00603B35">
            <w:pPr>
              <w:rPr>
                <w:lang w:val="bg-BG" w:eastAsia="en-US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Земеделски стопанин </w:t>
            </w:r>
          </w:p>
        </w:tc>
        <w:tc>
          <w:tcPr>
            <w:tcW w:w="5665" w:type="dxa"/>
          </w:tcPr>
          <w:p w14:paraId="126B8A0E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Стопанин по смисъла на чл. 3, т. 1 от Регламент (ЕС) № 2021/2115.</w:t>
            </w:r>
          </w:p>
        </w:tc>
      </w:tr>
      <w:tr w:rsidR="00603B35" w14:paraId="79C56625" w14:textId="77777777" w:rsidTr="002B6786">
        <w:tc>
          <w:tcPr>
            <w:tcW w:w="3397" w:type="dxa"/>
            <w:vAlign w:val="center"/>
          </w:tcPr>
          <w:p w14:paraId="74F90683" w14:textId="77777777" w:rsidR="00603B35" w:rsidRDefault="00603B35" w:rsidP="00603B35">
            <w:pPr>
              <w:rPr>
                <w:lang w:val="bg-BG" w:eastAsia="en-US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Земеделско стопанство</w:t>
            </w:r>
          </w:p>
        </w:tc>
        <w:tc>
          <w:tcPr>
            <w:tcW w:w="5665" w:type="dxa"/>
          </w:tcPr>
          <w:p w14:paraId="107BD5CA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Стопанство по смисъла на чл. 3, т. 2, от Регламент (ЕС) № 2021/2115.</w:t>
            </w:r>
          </w:p>
        </w:tc>
      </w:tr>
      <w:tr w:rsidR="00603B35" w14:paraId="6278FDE4" w14:textId="77777777" w:rsidTr="002B6786">
        <w:tc>
          <w:tcPr>
            <w:tcW w:w="3397" w:type="dxa"/>
            <w:shd w:val="clear" w:color="auto" w:fill="auto"/>
            <w:vAlign w:val="center"/>
          </w:tcPr>
          <w:p w14:paraId="24EC8963" w14:textId="77777777" w:rsidR="00603B35" w:rsidRDefault="00603B35" w:rsidP="00603B35">
            <w:pPr>
              <w:rPr>
                <w:lang w:val="bg-BG" w:eastAsia="en-US"/>
              </w:rPr>
            </w:pPr>
            <w:r w:rsidRPr="00AA3C9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Земеделски площи</w:t>
            </w:r>
          </w:p>
        </w:tc>
        <w:tc>
          <w:tcPr>
            <w:tcW w:w="5665" w:type="dxa"/>
            <w:shd w:val="clear" w:color="auto" w:fill="auto"/>
          </w:tcPr>
          <w:p w14:paraId="215F5CD4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35028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</w:t>
            </w:r>
            <w:r w:rsidRPr="0072538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бработваемата земя (включително оставена като угар), постоянно затревените площи, трайните насаждения и семейните градини независимо дали се използват за производство на земеделска продукция.</w:t>
            </w:r>
          </w:p>
        </w:tc>
      </w:tr>
      <w:tr w:rsidR="00603B35" w14:paraId="4EF456CC" w14:textId="77777777" w:rsidTr="002B6786">
        <w:tc>
          <w:tcPr>
            <w:tcW w:w="3397" w:type="dxa"/>
            <w:vAlign w:val="center"/>
          </w:tcPr>
          <w:p w14:paraId="56B0FB9A" w14:textId="77777777" w:rsidR="00603B35" w:rsidRDefault="00603B35" w:rsidP="00603B35">
            <w:pPr>
              <w:rPr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Интензитет на помощ</w:t>
            </w:r>
          </w:p>
        </w:tc>
        <w:tc>
          <w:tcPr>
            <w:tcW w:w="5665" w:type="dxa"/>
          </w:tcPr>
          <w:p w14:paraId="5EB132BD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нтензитет н</w:t>
            </w:r>
            <w:r>
              <w:rPr>
                <w:rFonts w:ascii="Times New Roman" w:hAnsi="Times New Roman"/>
                <w:sz w:val="24"/>
                <w:szCs w:val="24"/>
              </w:rPr>
              <w:t>а помощ“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означава брутния размер на помощта, изразен като процент от допустимите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lastRenderedPageBreak/>
              <w:t>разходи преди приспадането на данъци или други такси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3B35" w14:paraId="1D382CEA" w14:textId="77777777" w:rsidTr="002B6786">
        <w:tc>
          <w:tcPr>
            <w:tcW w:w="3397" w:type="dxa"/>
            <w:vAlign w:val="center"/>
          </w:tcPr>
          <w:p w14:paraId="0EB2BDA8" w14:textId="77777777" w:rsidR="00603B35" w:rsidRDefault="00603B35" w:rsidP="00603B35">
            <w:pPr>
              <w:rPr>
                <w:lang w:val="bg-BG" w:eastAsia="en-US"/>
              </w:rPr>
            </w:pP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Идентични проекти</w:t>
            </w:r>
          </w:p>
        </w:tc>
        <w:tc>
          <w:tcPr>
            <w:tcW w:w="5665" w:type="dxa"/>
          </w:tcPr>
          <w:p w14:paraId="7A229EEF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>Идентични проекти по настоящата процедура са такива, за които се установи, че включват решаването чрез еднакъв подход и решение на един и същи проблем за определено селскостопанско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 горско</w:t>
            </w: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производство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603B35" w14:paraId="44CA7B5D" w14:textId="77777777" w:rsidTr="002B6786">
        <w:tc>
          <w:tcPr>
            <w:tcW w:w="3397" w:type="dxa"/>
            <w:vAlign w:val="center"/>
          </w:tcPr>
          <w:p w14:paraId="0F1FCAAD" w14:textId="77777777" w:rsidR="00603B35" w:rsidRDefault="00603B35" w:rsidP="00603B35">
            <w:pPr>
              <w:rPr>
                <w:lang w:val="bg-BG" w:eastAsia="en-US"/>
              </w:rPr>
            </w:pP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Индивидуал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 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научноизследователски проект</w:t>
            </w:r>
          </w:p>
        </w:tc>
        <w:tc>
          <w:tcPr>
            <w:tcW w:w="5665" w:type="dxa"/>
          </w:tcPr>
          <w:p w14:paraId="51AF1521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аучноизследователски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индивидуална или колективна научноизследователска разработка с елементи на новост и оригиналност при интерпретирането на научни проблеми в изпълнение на научноизследователска задача с определен срок и качество, в рамките на на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личен финансов и човешки ресурс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603B35" w14:paraId="75B7C313" w14:textId="77777777" w:rsidTr="002B6786">
        <w:tc>
          <w:tcPr>
            <w:tcW w:w="3397" w:type="dxa"/>
            <w:vAlign w:val="center"/>
          </w:tcPr>
          <w:p w14:paraId="26EB799A" w14:textId="77777777" w:rsidR="00603B35" w:rsidRDefault="00603B35" w:rsidP="00603B35">
            <w:pPr>
              <w:rPr>
                <w:lang w:val="bg-BG" w:eastAsia="en-US"/>
              </w:rPr>
            </w:pPr>
            <w:r w:rsidRPr="00726E59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Лабораторно оборудване</w:t>
            </w:r>
          </w:p>
        </w:tc>
        <w:tc>
          <w:tcPr>
            <w:tcW w:w="5665" w:type="dxa"/>
          </w:tcPr>
          <w:p w14:paraId="32A4C21E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726E59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Лабораторно оборудване – апаратура и инструментална техника за количествени определения на съдържанието на дадени компоненти (елементи, вещества и др.) в изследваните материали и продукти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603B35" w14:paraId="6026DFF6" w14:textId="77777777" w:rsidTr="002B6786">
        <w:tc>
          <w:tcPr>
            <w:tcW w:w="3397" w:type="dxa"/>
            <w:vAlign w:val="center"/>
          </w:tcPr>
          <w:p w14:paraId="25C3A95D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E738B3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Новаторски проект</w:t>
            </w:r>
          </w:p>
        </w:tc>
        <w:tc>
          <w:tcPr>
            <w:tcW w:w="5665" w:type="dxa"/>
          </w:tcPr>
          <w:p w14:paraId="5E451931" w14:textId="77777777" w:rsidR="00603B35" w:rsidRPr="00054A89" w:rsidRDefault="00603B35" w:rsidP="00A6263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Новаторският проект в рамките на интервенцията се основава на интерактивния иновационен модел, който има за основни принципи:</w:t>
            </w:r>
          </w:p>
          <w:p w14:paraId="1BE466C9" w14:textId="77777777" w:rsidR="00603B35" w:rsidRPr="00054A89" w:rsidRDefault="00603B35" w:rsidP="00A62637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разработване на новаторски решения, насочени към потребностите на земеделските или горските стопани, като същевременно се работи по взаимодействието в рамките на цялата верига на доставки, когато това е полезно;</w:t>
            </w:r>
          </w:p>
          <w:p w14:paraId="2447FBC5" w14:textId="77777777" w:rsidR="00603B35" w:rsidRPr="00054A89" w:rsidRDefault="00603B35" w:rsidP="00A62637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обединяване на партньори с взаимно допълващи се знания като например земеделски стопани, консултанти, научни работници, предприятия или неправителствени организации, в целенасочени комбинации, най-подходящи за постигане на целите по проекта;</w:t>
            </w:r>
          </w:p>
          <w:p w14:paraId="78928ABB" w14:textId="77777777" w:rsidR="00603B35" w:rsidRDefault="00603B35" w:rsidP="00A62637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съвместно вземане на решения и съвместно творческо участие в стъпките на проекта.</w:t>
            </w:r>
          </w:p>
          <w:p w14:paraId="28E123CB" w14:textId="77777777" w:rsidR="00603B35" w:rsidRPr="00726E59" w:rsidRDefault="00603B35" w:rsidP="00A6263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За новаторски проект се приема и прилагането на традиционна практика в нов географски или екологичен контекст.</w:t>
            </w:r>
          </w:p>
        </w:tc>
      </w:tr>
      <w:tr w:rsidR="00603B35" w14:paraId="4164394E" w14:textId="77777777" w:rsidTr="002B6786">
        <w:tc>
          <w:tcPr>
            <w:tcW w:w="3397" w:type="dxa"/>
            <w:vAlign w:val="center"/>
          </w:tcPr>
          <w:p w14:paraId="4E6AC991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Независими оферти</w:t>
            </w:r>
          </w:p>
        </w:tc>
        <w:tc>
          <w:tcPr>
            <w:tcW w:w="5665" w:type="dxa"/>
          </w:tcPr>
          <w:p w14:paraId="71C39A69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Оферти, подадени от лица, които не се намират в следната свързаност помежду си или спрямо кандидата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или партньора/партньорите</w:t>
            </w: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: </w:t>
            </w:r>
          </w:p>
          <w:p w14:paraId="7807AD12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а) едното участва в управлението на дружеството на другото;</w:t>
            </w:r>
          </w:p>
          <w:p w14:paraId="5987805A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б) съдружници;</w:t>
            </w:r>
          </w:p>
          <w:p w14:paraId="3E53DD6E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в) съвместно контролират пряко трето лице;</w:t>
            </w:r>
          </w:p>
          <w:p w14:paraId="32628B8B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г) участват пряко в управлението или капитала на друго лице, поради което между тях могат да се уговарят условия, различни от обичайните;</w:t>
            </w:r>
          </w:p>
          <w:p w14:paraId="09903163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д) едното лице притежава повече от половината от броя на гласовете в общото събрание на другото лице;</w:t>
            </w:r>
          </w:p>
          <w:p w14:paraId="7BC346ED" w14:textId="77777777" w:rsidR="00603B35" w:rsidRPr="002D2840" w:rsidRDefault="00603B35" w:rsidP="00603B35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е) лицата, чиято дейност се контролира пряко или косвено от трето лице – физическо или юридическо;</w:t>
            </w:r>
          </w:p>
          <w:p w14:paraId="0D84F97F" w14:textId="77777777" w:rsidR="00603B35" w:rsidRPr="00726E59" w:rsidRDefault="00603B35" w:rsidP="00256FB6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ж) лицата, едното от които е търговски представител на другото.</w:t>
            </w:r>
          </w:p>
        </w:tc>
      </w:tr>
      <w:tr w:rsidR="00603B35" w14:paraId="4F182E30" w14:textId="77777777" w:rsidTr="002B6786">
        <w:tc>
          <w:tcPr>
            <w:tcW w:w="3397" w:type="dxa"/>
            <w:vAlign w:val="center"/>
          </w:tcPr>
          <w:p w14:paraId="3CF739B5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Оперативна</w:t>
            </w: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група</w:t>
            </w:r>
          </w:p>
        </w:tc>
        <w:tc>
          <w:tcPr>
            <w:tcW w:w="5665" w:type="dxa"/>
          </w:tcPr>
          <w:p w14:paraId="736D9C75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 xml:space="preserve">Оперативната група за постигането на целите на Европейското партньорство за иновации (ЕПИ) е група от хора с допълващи се знания (напр. практически, научни, технически, организационни познания и т.н.), които съвместно създават практически решения за селското стопанство, горското стопанство и селските общности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</w:t>
            </w:r>
            <w:r w:rsidRPr="007D386A">
              <w:rPr>
                <w:rFonts w:ascii="Times New Roman" w:hAnsi="Times New Roman"/>
                <w:sz w:val="24"/>
                <w:szCs w:val="24"/>
              </w:rPr>
              <w:t xml:space="preserve"> проект.</w:t>
            </w:r>
          </w:p>
        </w:tc>
      </w:tr>
      <w:tr w:rsidR="00603B35" w14:paraId="191369A6" w14:textId="77777777" w:rsidTr="002B6786">
        <w:tc>
          <w:tcPr>
            <w:tcW w:w="3397" w:type="dxa"/>
            <w:vAlign w:val="center"/>
          </w:tcPr>
          <w:p w14:paraId="6DB0C0AD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Помощ, предоставена в рамките на стратегически план по ОСП</w:t>
            </w:r>
          </w:p>
        </w:tc>
        <w:tc>
          <w:tcPr>
            <w:tcW w:w="5665" w:type="dxa"/>
          </w:tcPr>
          <w:p w14:paraId="30DC9380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Означава подкрепа, предоставена в съответствие с Регламент (ЕС) 2021/2115 като помощ, съфинансирана от ЕЗФРСР, или като допълнително национално финансиране към такава съфинансирана помощ</w:t>
            </w:r>
          </w:p>
        </w:tc>
      </w:tr>
      <w:tr w:rsidR="00603B35" w14:paraId="609790E3" w14:textId="77777777" w:rsidTr="002B6786">
        <w:tc>
          <w:tcPr>
            <w:tcW w:w="3397" w:type="dxa"/>
            <w:shd w:val="clear" w:color="auto" w:fill="auto"/>
            <w:vAlign w:val="center"/>
          </w:tcPr>
          <w:p w14:paraId="18C8B81C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AA3C9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Посевен материал</w:t>
            </w:r>
          </w:p>
        </w:tc>
        <w:tc>
          <w:tcPr>
            <w:tcW w:w="5665" w:type="dxa"/>
            <w:shd w:val="clear" w:color="auto" w:fill="auto"/>
          </w:tcPr>
          <w:p w14:paraId="674BC37D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Семена, плодове, съплодия или техни части за посев, с изключение на горски репродуктивен материал, предназначен за лесовъдски цели.</w:t>
            </w:r>
          </w:p>
        </w:tc>
      </w:tr>
      <w:tr w:rsidR="00603B35" w14:paraId="0B398C02" w14:textId="77777777" w:rsidTr="002B6786">
        <w:tc>
          <w:tcPr>
            <w:tcW w:w="3397" w:type="dxa"/>
            <w:vAlign w:val="center"/>
          </w:tcPr>
          <w:p w14:paraId="319E45AF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Помощ, предоставена в рамките на стратегически план по ОСП</w:t>
            </w:r>
          </w:p>
        </w:tc>
        <w:tc>
          <w:tcPr>
            <w:tcW w:w="5665" w:type="dxa"/>
          </w:tcPr>
          <w:p w14:paraId="1FE40FA9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Означава подкрепа, предоставена в съответствие с Регламент (ЕС) 2021/2115 като помощ, съфинансирана от ЕЗФРСР, или като допълнително национално финансиране към такава съфинансирана помощ</w:t>
            </w:r>
          </w:p>
        </w:tc>
      </w:tr>
      <w:tr w:rsidR="00603B35" w14:paraId="7A73A606" w14:textId="77777777" w:rsidTr="002B6786">
        <w:tc>
          <w:tcPr>
            <w:tcW w:w="3397" w:type="dxa"/>
            <w:shd w:val="clear" w:color="auto" w:fill="auto"/>
            <w:vAlign w:val="center"/>
          </w:tcPr>
          <w:p w14:paraId="39BCD263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AA3C9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Посевен материал</w:t>
            </w:r>
          </w:p>
        </w:tc>
        <w:tc>
          <w:tcPr>
            <w:tcW w:w="5665" w:type="dxa"/>
            <w:shd w:val="clear" w:color="auto" w:fill="auto"/>
          </w:tcPr>
          <w:p w14:paraId="1BDFF982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Семена, плодове, съплодия или техни части за посев, с изключение на горски репродуктивен материал, предназначен за лесовъдски цели.</w:t>
            </w:r>
          </w:p>
        </w:tc>
      </w:tr>
      <w:tr w:rsidR="00603B35" w14:paraId="55F0A445" w14:textId="77777777" w:rsidTr="002B6786">
        <w:tc>
          <w:tcPr>
            <w:tcW w:w="3397" w:type="dxa"/>
            <w:vAlign w:val="center"/>
          </w:tcPr>
          <w:p w14:paraId="41B51E0E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Първа стъпка </w:t>
            </w:r>
          </w:p>
        </w:tc>
        <w:tc>
          <w:tcPr>
            <w:tcW w:w="5665" w:type="dxa"/>
          </w:tcPr>
          <w:p w14:paraId="5C4ECBE3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Помощ за сформиране на оперативни групи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предоставена по интервенция 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Ж.1 „</w:t>
            </w:r>
            <w:r w:rsidRPr="00A55ADB">
              <w:rPr>
                <w:rFonts w:ascii="Times New Roman" w:hAnsi="Times New Roman"/>
                <w:sz w:val="24"/>
                <w:szCs w:val="24"/>
                <w:lang w:val="bg-BG"/>
              </w:rPr>
              <w:t>Подкрепа за оперативни групи в рамките на Европейското партньорство за иновации“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A55ADB">
              <w:rPr>
                <w:rFonts w:ascii="Times New Roman" w:hAnsi="Times New Roman"/>
                <w:sz w:val="24"/>
                <w:szCs w:val="24"/>
                <w:lang w:val="bg-BG"/>
              </w:rPr>
              <w:t>от СПРЗСР 2023 – 2027 г.</w:t>
            </w:r>
          </w:p>
        </w:tc>
      </w:tr>
      <w:tr w:rsidR="00603B35" w14:paraId="00C860FC" w14:textId="77777777" w:rsidTr="002B6786">
        <w:tc>
          <w:tcPr>
            <w:tcW w:w="3397" w:type="dxa"/>
            <w:vAlign w:val="center"/>
          </w:tcPr>
          <w:p w14:paraId="0BDADEFC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Първично селскостопанско производство</w:t>
            </w:r>
          </w:p>
        </w:tc>
        <w:tc>
          <w:tcPr>
            <w:tcW w:w="5665" w:type="dxa"/>
          </w:tcPr>
          <w:p w14:paraId="66A91CF2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Означава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производството на растителните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и животинските продукти, изброени в приложение I към Договора, без да се извършват никакви по-нататъшни операции, с които се променя естеството на тези продукти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3B35" w14:paraId="28319EBB" w14:textId="77777777" w:rsidTr="002B6786">
        <w:tc>
          <w:tcPr>
            <w:tcW w:w="3397" w:type="dxa"/>
            <w:vAlign w:val="center"/>
          </w:tcPr>
          <w:p w14:paraId="223D5AB2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2C04F1">
              <w:rPr>
                <w:rFonts w:ascii="Times New Roman" w:hAnsi="Times New Roman"/>
                <w:sz w:val="24"/>
                <w:szCs w:val="24"/>
                <w:lang w:val="bg-BG"/>
              </w:rPr>
              <w:t>Преработка на селскостопански продукти</w:t>
            </w:r>
          </w:p>
        </w:tc>
        <w:tc>
          <w:tcPr>
            <w:tcW w:w="5665" w:type="dxa"/>
          </w:tcPr>
          <w:p w14:paraId="26CD2C85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2C04F1">
              <w:rPr>
                <w:rFonts w:ascii="Times New Roman" w:hAnsi="Times New Roman"/>
                <w:sz w:val="24"/>
                <w:szCs w:val="24"/>
                <w:lang w:val="bg-BG"/>
              </w:rPr>
              <w:t>Всяко обработване на селскостопански продукт, в резултат на което се получава продукт, който също е селскостопански продукт, с изключение на дейностите, извършвани в стопанството, необходими за приготвяне на животински или растителен продукт за първа продажба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603B35" w14:paraId="29D95311" w14:textId="77777777" w:rsidTr="002B6786">
        <w:tc>
          <w:tcPr>
            <w:tcW w:w="3397" w:type="dxa"/>
            <w:vAlign w:val="center"/>
          </w:tcPr>
          <w:p w14:paraId="12A334CE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051F6">
              <w:rPr>
                <w:rFonts w:ascii="Times New Roman" w:hAnsi="Times New Roman"/>
                <w:sz w:val="24"/>
                <w:szCs w:val="24"/>
                <w:lang w:val="bg-BG"/>
              </w:rPr>
              <w:t>ринцип на добро финансово управление</w:t>
            </w:r>
          </w:p>
        </w:tc>
        <w:tc>
          <w:tcPr>
            <w:tcW w:w="5665" w:type="dxa"/>
          </w:tcPr>
          <w:p w14:paraId="1A2D7BE5" w14:textId="77777777" w:rsidR="00603B35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ринципа на добро финансово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е изпълнява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, като се спазват следните принципи: </w:t>
            </w:r>
          </w:p>
          <w:p w14:paraId="5DF6D319" w14:textId="77777777" w:rsidR="00603B35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lastRenderedPageBreak/>
              <w:t>а) принципа на икономичност, според който ресурс</w:t>
            </w:r>
            <w:r>
              <w:rPr>
                <w:rFonts w:ascii="Times New Roman" w:hAnsi="Times New Roman"/>
                <w:sz w:val="24"/>
                <w:szCs w:val="24"/>
              </w:rPr>
              <w:t>ите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 се предоставят своевременно, в подходящо количество и качество и на най-добрата цена; </w:t>
            </w:r>
          </w:p>
          <w:p w14:paraId="610D528A" w14:textId="77777777" w:rsidR="00603B35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t xml:space="preserve">б) принципа на ефикасност, който е свързан с най-доброто съотношение между използваните ресурси, предприетите дейности и постигането на целите; </w:t>
            </w:r>
          </w:p>
          <w:p w14:paraId="5724623B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>ринципа на ефективност, който е свързан със степента, в която се постигат поставените цели посредством предприетите дейности.</w:t>
            </w:r>
          </w:p>
        </w:tc>
      </w:tr>
      <w:tr w:rsidR="00603B35" w14:paraId="13ECF90F" w14:textId="77777777" w:rsidTr="002B6786">
        <w:tc>
          <w:tcPr>
            <w:tcW w:w="3397" w:type="dxa"/>
            <w:vAlign w:val="center"/>
          </w:tcPr>
          <w:p w14:paraId="115480A8" w14:textId="77777777" w:rsidR="00603B35" w:rsidRPr="00726E59" w:rsidRDefault="00603B35" w:rsidP="00603B35">
            <w:pP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С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>пецифично оборудване и/или апаратура</w:t>
            </w:r>
          </w:p>
        </w:tc>
        <w:tc>
          <w:tcPr>
            <w:tcW w:w="5665" w:type="dxa"/>
          </w:tcPr>
          <w:p w14:paraId="71D85976" w14:textId="77777777" w:rsidR="00603B35" w:rsidRPr="00726E59" w:rsidRDefault="00603B35" w:rsidP="00603B3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7D25E7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Включва машини, съоръжения, оборудване и апаратура, които притежават специфични функционалности, необходими за осъществяване на дейности по проекта и постигане на целите му, включително и изделия, които надграждат, допълват или модернизират съществуващи в практиката машини, съоръжения, оборудване и апаратура</w:t>
            </w:r>
            <w:r w:rsidRPr="00D835AD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.</w:t>
            </w:r>
          </w:p>
        </w:tc>
      </w:tr>
      <w:tr w:rsidR="000C50B1" w14:paraId="33005225" w14:textId="77777777" w:rsidTr="002B6786">
        <w:tc>
          <w:tcPr>
            <w:tcW w:w="3397" w:type="dxa"/>
            <w:vAlign w:val="center"/>
          </w:tcPr>
          <w:p w14:paraId="051B6B3A" w14:textId="77777777" w:rsidR="000C50B1" w:rsidRDefault="000C50B1" w:rsidP="00603B35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0C50B1">
              <w:rPr>
                <w:rFonts w:ascii="Times New Roman" w:hAnsi="Times New Roman"/>
                <w:sz w:val="24"/>
                <w:szCs w:val="24"/>
                <w:lang w:val="bg-BG"/>
              </w:rPr>
              <w:t>пециализирани държавни структури в областта на науката и научните изследвания и анализа и оценката на риска по агрохранителната верига</w:t>
            </w:r>
          </w:p>
        </w:tc>
        <w:tc>
          <w:tcPr>
            <w:tcW w:w="5665" w:type="dxa"/>
          </w:tcPr>
          <w:p w14:paraId="07ED3B15" w14:textId="77777777" w:rsidR="000C50B1" w:rsidRPr="000C50B1" w:rsidRDefault="000C50B1" w:rsidP="000C50B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0C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Център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ът</w:t>
            </w:r>
            <w:r w:rsidRPr="000C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 оценка на риска по агрохранителната ве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рига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 xml:space="preserve"> и </w:t>
            </w:r>
            <w:r w:rsidRPr="000C50B1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Национал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ният диагностичен научноизследователски в</w:t>
            </w:r>
            <w:r w:rsidRPr="000C50B1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 xml:space="preserve">етеринарномедицински 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и</w:t>
            </w:r>
            <w:r w:rsidRPr="000C50B1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нститут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.</w:t>
            </w:r>
          </w:p>
        </w:tc>
      </w:tr>
      <w:tr w:rsidR="00603B35" w14:paraId="0C738F8B" w14:textId="77777777" w:rsidTr="002B6786">
        <w:tc>
          <w:tcPr>
            <w:tcW w:w="3397" w:type="dxa"/>
            <w:vAlign w:val="center"/>
          </w:tcPr>
          <w:p w14:paraId="2E5C3427" w14:textId="77777777" w:rsidR="00603B35" w:rsidRDefault="00603B35" w:rsidP="00603B35">
            <w:pPr>
              <w:rPr>
                <w:lang w:val="bg-BG" w:eastAsia="en-US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Селскостопанска дейност</w:t>
            </w:r>
          </w:p>
        </w:tc>
        <w:tc>
          <w:tcPr>
            <w:tcW w:w="5665" w:type="dxa"/>
          </w:tcPr>
          <w:p w14:paraId="2249866D" w14:textId="77777777" w:rsidR="00603B35" w:rsidRPr="0074146A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„Селскостопанска дейност“ се определя по такъв начин, който дава възможност за осъществяването на принос към предоставянето на частни и обществени блага посредством един или и двата от следните елементи:</w:t>
            </w:r>
          </w:p>
          <w:p w14:paraId="79B6B74C" w14:textId="77777777" w:rsidR="00603B35" w:rsidRPr="0074146A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производството на селскостопански продукти,</w:t>
            </w: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което включва дейности като отглеждане на животни или обработване на земя, включително посредством палудикултура, като селскостопански продукти означава продуктите, изброени в приложение I към ДФЕС, с изключение на рибни продукти, както и памук и дървесни култури с кратък цикъл на ротация;</w:t>
            </w:r>
          </w:p>
          <w:p w14:paraId="71A2C52F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поддържането на селскостопанската площ</w:t>
            </w: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състояние, което да я прави подходяща за паша или обработване без никакви специални подготвителни действия, които са извън рамките на употребата на традиционните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селскостопански методи и машини.</w:t>
            </w:r>
          </w:p>
        </w:tc>
      </w:tr>
      <w:tr w:rsidR="00603B35" w14:paraId="46A4E868" w14:textId="77777777" w:rsidTr="002B6786">
        <w:tc>
          <w:tcPr>
            <w:tcW w:w="3397" w:type="dxa"/>
            <w:vAlign w:val="center"/>
          </w:tcPr>
          <w:p w14:paraId="48567786" w14:textId="77777777" w:rsidR="00603B35" w:rsidRDefault="00603B35" w:rsidP="00603B35">
            <w:pPr>
              <w:rPr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Съпоставими оферти </w:t>
            </w:r>
          </w:p>
        </w:tc>
        <w:tc>
          <w:tcPr>
            <w:tcW w:w="5665" w:type="dxa"/>
          </w:tcPr>
          <w:p w14:paraId="38343A14" w14:textId="77777777" w:rsidR="00603B35" w:rsidRDefault="00603B35" w:rsidP="008D61F4">
            <w:pPr>
              <w:jc w:val="both"/>
              <w:rPr>
                <w:lang w:val="bg-BG" w:eastAsia="en-US"/>
              </w:rPr>
            </w:pPr>
            <w:r w:rsidRPr="00D835AD">
              <w:rPr>
                <w:rFonts w:ascii="Times New Roman" w:hAnsi="Times New Roman"/>
                <w:sz w:val="24"/>
                <w:szCs w:val="24"/>
                <w:lang w:val="bg-BG"/>
              </w:rPr>
              <w:t>Оферти,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</w:t>
            </w:r>
            <w:r w:rsidRPr="00D835A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603B35" w14:paraId="2398A3D4" w14:textId="77777777" w:rsidTr="002B6786">
        <w:tc>
          <w:tcPr>
            <w:tcW w:w="3397" w:type="dxa"/>
            <w:vAlign w:val="center"/>
          </w:tcPr>
          <w:p w14:paraId="3F74C123" w14:textId="77777777" w:rsidR="00603B35" w:rsidRDefault="00603B35" w:rsidP="00603B35">
            <w:pPr>
              <w:rPr>
                <w:lang w:val="bg-BG" w:eastAsia="en-US"/>
              </w:rPr>
            </w:pPr>
            <w:r w:rsidRPr="009C5258">
              <w:rPr>
                <w:rFonts w:ascii="Times New Roman" w:hAnsi="Times New Roman"/>
                <w:sz w:val="24"/>
                <w:szCs w:val="24"/>
              </w:rPr>
              <w:t>Фундаментални научни изследвания</w:t>
            </w:r>
          </w:p>
        </w:tc>
        <w:tc>
          <w:tcPr>
            <w:tcW w:w="5665" w:type="dxa"/>
          </w:tcPr>
          <w:p w14:paraId="7D223001" w14:textId="77777777" w:rsidR="00603B35" w:rsidRDefault="00603B35" w:rsidP="00A62637">
            <w:pPr>
              <w:jc w:val="both"/>
              <w:rPr>
                <w:lang w:val="bg-BG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C5258">
              <w:rPr>
                <w:rFonts w:ascii="Times New Roman" w:hAnsi="Times New Roman"/>
                <w:sz w:val="24"/>
                <w:szCs w:val="24"/>
              </w:rPr>
              <w:t>зследвания, включващи експериментална или теоретична работа, предприета основно с цел придобиване на нови знания за фундаменталните причини за явленията или наблюдаемите факти, без да се има предвид каквото и да било пряко практическо приложение или използване.</w:t>
            </w:r>
          </w:p>
        </w:tc>
      </w:tr>
      <w:tr w:rsidR="00603B35" w14:paraId="138016DB" w14:textId="77777777" w:rsidTr="002B6786">
        <w:tc>
          <w:tcPr>
            <w:tcW w:w="3397" w:type="dxa"/>
            <w:vAlign w:val="center"/>
          </w:tcPr>
          <w:p w14:paraId="31D1D375" w14:textId="77777777" w:rsidR="00603B35" w:rsidRDefault="00603B35" w:rsidP="00603B35">
            <w:pPr>
              <w:rPr>
                <w:lang w:val="bg-BG" w:eastAsia="en-US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lastRenderedPageBreak/>
              <w:t>Цифровите технологии</w:t>
            </w:r>
          </w:p>
        </w:tc>
        <w:tc>
          <w:tcPr>
            <w:tcW w:w="5665" w:type="dxa"/>
          </w:tcPr>
          <w:p w14:paraId="59AA085E" w14:textId="77777777" w:rsidR="00603B35" w:rsidRPr="00AA3C90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Цифровите технологии са съвкупност от хардуерни и софтуерни решения, които позволяват събиране, обработка, анализ и използване на данни за подобряване на производствените процеси, управлението на ресурсите, мониторинг, автоматизация и вземане на решения в селското и горското стопанство. Целта на прилагането на цифрови технологии е повишаване на ефективността, устойчивостта, проследимостта и конкурентоспособността на селско стопанство или горското стопанство, както и постигането на по-висока степен на автоматизация и дигитализация на процесите.</w:t>
            </w:r>
          </w:p>
          <w:p w14:paraId="6B0FE852" w14:textId="77777777" w:rsidR="00603B35" w:rsidRPr="00AA3C90" w:rsidRDefault="00603B35" w:rsidP="00603B3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 xml:space="preserve">Примери за цифрови технологии: </w:t>
            </w:r>
          </w:p>
          <w:p w14:paraId="5C507A63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Глобални навигационни спътникови системи (GNSS/GPS);</w:t>
            </w:r>
          </w:p>
          <w:p w14:paraId="167417B0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Системи за прецизно земеделие;</w:t>
            </w:r>
          </w:p>
          <w:p w14:paraId="7EBD67BE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Дистанционни сензори, дронове и сателитно наблюдение;</w:t>
            </w:r>
          </w:p>
          <w:p w14:paraId="4341D5B1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Софтуер за управление на стопанство (Farm Management Information Systems);</w:t>
            </w:r>
          </w:p>
          <w:p w14:paraId="4FAFAFE8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Интернет на нещата (IoT) устройства за мониторинг на почва, вода, климат и животни;</w:t>
            </w:r>
          </w:p>
          <w:p w14:paraId="21FC317F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Автоматизирани и роботизирани машини и оборудване;</w:t>
            </w:r>
          </w:p>
          <w:p w14:paraId="6303A349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Цифрови платформи (вкл. на базата на блокчейн) за търговия, логистика и анализ на данни, както и проследимостта на тези процеси;</w:t>
            </w:r>
          </w:p>
          <w:p w14:paraId="1D9C12AB" w14:textId="77777777" w:rsidR="00603B35" w:rsidRPr="00AA3C90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Системи за проследимост, електронни дневници и електронна отчетност;</w:t>
            </w:r>
          </w:p>
          <w:p w14:paraId="0784FA39" w14:textId="77777777" w:rsidR="00603B35" w:rsidRPr="00A62637" w:rsidRDefault="00603B35" w:rsidP="00603B35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Изкуствен интелект и машинно обучение, когато се използват за анализ и оптимизация на агро-процеси.</w:t>
            </w:r>
          </w:p>
        </w:tc>
      </w:tr>
    </w:tbl>
    <w:p w14:paraId="33F9813D" w14:textId="77777777" w:rsidR="00603B35" w:rsidRPr="008D61F4" w:rsidRDefault="00603B35" w:rsidP="008D61F4"/>
    <w:p w14:paraId="05DFC50D" w14:textId="77777777" w:rsidR="00CE1ADE" w:rsidRPr="004F39ED" w:rsidRDefault="00CE1ADE" w:rsidP="00CE1ADE"/>
    <w:p w14:paraId="74972690" w14:textId="77777777" w:rsidR="00AF49E8" w:rsidRDefault="00AF49E8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  <w:sectPr w:rsidR="00AF49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AF4DE8" w14:textId="77777777" w:rsidR="00771598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212561368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Основна ц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ел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, очаквани резултати и принос към специфичните цели</w:t>
      </w:r>
      <w:bookmarkEnd w:id="3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10FA139E" w14:textId="77777777" w:rsidTr="00065273">
        <w:trPr>
          <w:trHeight w:val="5811"/>
        </w:trPr>
        <w:tc>
          <w:tcPr>
            <w:tcW w:w="9209" w:type="dxa"/>
          </w:tcPr>
          <w:p w14:paraId="114CB731" w14:textId="77777777" w:rsidR="0061363E" w:rsidRPr="004F39ED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1. Основна цел:</w:t>
            </w:r>
          </w:p>
          <w:p w14:paraId="471C9A95" w14:textId="77777777" w:rsidR="00C77D9E" w:rsidRPr="00C77D9E" w:rsidRDefault="00C77D9E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Подкрепата се предоставя за функциониране на оперативни групи за постигането на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целите на Европейското партньорство за иновации (ЕПИ) за селскостопанска производителност 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устойчивост, посочени в член 127 на Регламент 2021/2115 на Европейския парламент и на Съвета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 2 декември 2021 година за установяване на правила за подпомагане за стратегическите планове,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които трябва да бъдат изготвени от държавите членки по линия на общата селскостопанска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политика (стратегически планове по ОСП) и финансирани от Европейския фонд за гарантиране на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земеделието (ЕФГЗ) и от Европейския земеделски фонд за развитие на селските райони (ЕЗФРСР),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и за отмяна на регламенти (ЕС) № 1305/2013 и (ЕС) № 1307/2013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.</w:t>
            </w:r>
          </w:p>
          <w:p w14:paraId="2F63206B" w14:textId="77777777" w:rsidR="00A55ADB" w:rsidRDefault="00A55ADB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14:paraId="08DF7DFE" w14:textId="77777777" w:rsidR="00C77D9E" w:rsidRDefault="00C77D9E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Европейското партньорство за иновации (ЕПИ) по-конкретно има за цел да:</w:t>
            </w:r>
          </w:p>
          <w:p w14:paraId="00F139F1" w14:textId="77777777" w:rsidR="00EF223F" w:rsidRPr="00C77D9E" w:rsidRDefault="00EF223F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14:paraId="41487CA9" w14:textId="77777777"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създава добавена стойност чрез по-добро свързване на научноизследователската дейност и селскостопанската практика и да насърчава по-широкото използване на наличните иновационни мерки;</w:t>
            </w:r>
          </w:p>
          <w:p w14:paraId="14E33C62" w14:textId="77777777"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установява връзка между участниците в областта на иновациите и съответните проекти;</w:t>
            </w:r>
          </w:p>
          <w:p w14:paraId="6C904A80" w14:textId="77777777"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насърчава по-бързо и по-широкообхватно прилагане на новаторските решения в практиката, включително обменът между земеделските стопани;</w:t>
            </w:r>
          </w:p>
          <w:p w14:paraId="7686F49A" w14:textId="77777777" w:rsidR="00C77D9E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информира научната общност за нуждите от изследвания в полза на селскостопанската практика.</w:t>
            </w:r>
          </w:p>
          <w:p w14:paraId="3262AB90" w14:textId="77777777" w:rsidR="00436456" w:rsidRPr="00EF223F" w:rsidRDefault="00436456" w:rsidP="004364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Чрез интервенцията ще се подпомагат и </w:t>
            </w:r>
            <w:r w:rsidR="00A55AD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новаторски проекти</w:t>
            </w:r>
            <w:r w:rsidR="00F1077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на оператвини групи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, свързани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с продукти попадащи извън обхвата на Приложение I на чл. 42 от ДФЕС, които същевременно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допринасят за постигане на целите на ЕПИ. </w:t>
            </w:r>
          </w:p>
          <w:p w14:paraId="0E5C7148" w14:textId="77777777" w:rsidR="00EF223F" w:rsidRDefault="00EF223F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</w:p>
          <w:p w14:paraId="0B7292F4" w14:textId="77777777" w:rsidR="001654FC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891FA9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2. </w:t>
            </w:r>
            <w:r w:rsidR="00E91DDA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Очаквани резултати:</w:t>
            </w:r>
          </w:p>
          <w:p w14:paraId="457C4C2B" w14:textId="77777777" w:rsidR="00E91DDA" w:rsidRPr="00E91DDA" w:rsidRDefault="00E91DDA" w:rsidP="00627E59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Очакваният ефект от прилагане на интервенцията е да се допринесе в най-голяма степен за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засилване и укрепване на връзките между земеделското производство и изследователската дейност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чрез прилагането на проекти с потенциал за иновации, базирани на интерактивни иновационни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модели.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Предви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жда се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подкрепа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та по процедурата да предостави възможност за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изпълнение на най-малко 100 усп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е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ш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ни новаторски проекти, представени от 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оперативни групи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, в т.ч. оперативни групи, чието създаване е подпомогнато чрез 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финансова помощ, предоставена по 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първа стъпка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на интервенцията 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</w:rPr>
              <w:t>II.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Ж.1</w:t>
            </w:r>
            <w:r w:rsidR="00F10771" w:rsidRPr="00F10771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F10771" w:rsidRPr="00F10771">
              <w:rPr>
                <w:rFonts w:ascii="Times New Roman" w:eastAsiaTheme="majorEastAsia" w:hAnsi="Times New Roman"/>
                <w:bCs/>
                <w:sz w:val="24"/>
                <w:szCs w:val="24"/>
                <w:lang w:val="bg-BG"/>
              </w:rPr>
              <w:t>„</w:t>
            </w:r>
            <w:r w:rsidR="00F10771" w:rsidRPr="00F10771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bg-BG"/>
              </w:rPr>
              <w:t>Подкрепа за оперативни групи в рамките на Европейското партньорство за иновации“</w:t>
            </w:r>
            <w:r w:rsidR="00EF223F" w:rsidRP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.</w:t>
            </w:r>
          </w:p>
          <w:p w14:paraId="4C82E9EF" w14:textId="77777777" w:rsidR="00C77D9E" w:rsidRPr="00703369" w:rsidRDefault="00C77D9E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554745" w14:textId="77777777" w:rsidR="002E759A" w:rsidRPr="00FF727D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3. </w:t>
            </w:r>
            <w:r w:rsidR="002E759A" w:rsidRPr="00FF727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Показатели за резултат</w:t>
            </w:r>
            <w:r w:rsidR="00102904" w:rsidRPr="00FF727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:</w:t>
            </w:r>
          </w:p>
          <w:p w14:paraId="439C0CEA" w14:textId="77777777" w:rsidR="00466882" w:rsidRPr="001E7DCD" w:rsidRDefault="00685E90" w:rsidP="00627E59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Подкрепените дейности по процедурата</w:t>
            </w:r>
            <w:r w:rsidR="0061363E"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ще допринес</w:t>
            </w:r>
            <w:r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>ат</w:t>
            </w:r>
            <w:r w:rsidR="0061363E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за постигане на </w:t>
            </w:r>
            <w:r w:rsidR="00FB62DA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един или няколко от следните резултатни индикатори, имащи пряко отношение към изпълнението на </w:t>
            </w:r>
            <w:r w:rsidR="00FB62DA"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AKIS:</w:t>
            </w:r>
          </w:p>
          <w:p w14:paraId="54A84798" w14:textId="77777777" w:rsidR="002932EA" w:rsidRDefault="002932EA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</w:p>
          <w:p w14:paraId="56CF8336" w14:textId="77777777"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R.1.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 xml:space="preserve"> Подобряване на качеството на изпълнението чрез знания и иновации: Брой на лицата, ползващи се от консултации, обучения и обмен на знания или участващи в оперативни групи на Европейското партньорство за иновации (ЕПИ), подпомагани от 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lastRenderedPageBreak/>
              <w:t>ОСП с цел подобряване на устойчивото качество на изпълнението в икономически, социален, екологичен, свързан с климата и с ресурсната ефективност аспект.</w:t>
            </w:r>
          </w:p>
          <w:p w14:paraId="71E98528" w14:textId="77777777"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US"/>
              </w:rPr>
              <w:t>R.2</w:t>
            </w: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>Създаване на връзка между консултациите и системите за знания: Брой на получаващите подпомагане консултанти, които да бъдат интегрирани в Системите за знания и иновации в селското стопанство (AKIS).</w:t>
            </w:r>
          </w:p>
          <w:p w14:paraId="26A647DE" w14:textId="77777777"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R.3.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 xml:space="preserve"> Цифровизация на селското стопанство: дял на земеделските стопанства, ползващи подпомагане за цифрови технологии за земеделие по линия на ОСП.</w:t>
            </w:r>
          </w:p>
          <w:p w14:paraId="541FDEB2" w14:textId="77777777" w:rsidR="00E91DD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US" w:eastAsia="en-US"/>
              </w:rPr>
              <w:t>R.28</w:t>
            </w: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en-US"/>
              </w:rPr>
              <w:t xml:space="preserve"> Качество на изпълнението с оглед на околната среда или климата чрез знания и иновации: брой на лицата, ползващи се от консултации, обучения и обмен на знания или участващи в оперативни групи на Европейското партньорство за иновации (ЕПИ), подпомагани от ОСП, във връзка с качеството на изпълнението свързано с околната среда климата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>.</w:t>
            </w:r>
          </w:p>
          <w:p w14:paraId="65AF44B4" w14:textId="77777777" w:rsidR="00F44648" w:rsidRDefault="00D748A9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4. </w:t>
            </w:r>
            <w:r w:rsidR="00AB798E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Принос към специфичните цели</w:t>
            </w:r>
            <w:r w:rsidR="00A22C74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:</w:t>
            </w:r>
            <w:r w:rsidR="00485BC6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14:paraId="0FEB98C4" w14:textId="77777777" w:rsidR="008D61F4" w:rsidRDefault="008D46FD" w:rsidP="002B6786">
            <w:pPr>
              <w:jc w:val="both"/>
              <w:rPr>
                <w:noProof/>
              </w:rPr>
            </w:pPr>
            <w:r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Процедурата </w:t>
            </w:r>
            <w:r w:rsidR="00485BC6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ще допринесе за постигане на м</w:t>
            </w:r>
            <w:r w:rsidR="00F57007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еждусекторна</w:t>
            </w:r>
            <w:r w:rsidR="00485BC6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та</w:t>
            </w:r>
            <w:r w:rsidR="00F57007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цел за модернизиране на селското стопанство и селските райони чрез стимулиране и споделяне на знания, иновации и цифровизация в селското стопанство и селските райони и чрез насърчаване на усвояването им в по-голяма степен от земеделските стопани чрез по-добър достъп до научни изследвания, иновации, обмен на знания и обучение.</w:t>
            </w:r>
          </w:p>
          <w:p w14:paraId="5C5055D7" w14:textId="77777777" w:rsidR="00CB2060" w:rsidRPr="008D61F4" w:rsidRDefault="00CB2060" w:rsidP="008D61F4"/>
        </w:tc>
      </w:tr>
    </w:tbl>
    <w:p w14:paraId="64CF4733" w14:textId="77777777" w:rsidR="00D65705" w:rsidRPr="004F39ED" w:rsidRDefault="00CA4E27" w:rsidP="00D65705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212561369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Териториален обхват</w:t>
      </w:r>
      <w:bookmarkEnd w:id="4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65705" w:rsidRPr="004F39ED" w14:paraId="244AA2BC" w14:textId="77777777" w:rsidTr="00234D97">
        <w:tc>
          <w:tcPr>
            <w:tcW w:w="9209" w:type="dxa"/>
          </w:tcPr>
          <w:p w14:paraId="7EEB4F35" w14:textId="77777777" w:rsidR="00D65705" w:rsidRPr="004F39ED" w:rsidRDefault="00FB3011" w:rsidP="00065273">
            <w:pPr>
              <w:spacing w:before="240" w:after="24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1. </w:t>
            </w:r>
            <w:r w:rsidR="00015935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Дейностите </w:t>
            </w:r>
            <w:r w:rsidR="008D46FD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по процедурата </w:t>
            </w:r>
            <w:r w:rsidR="002E759A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се изпълняват на територията на Република България.</w:t>
            </w:r>
          </w:p>
        </w:tc>
      </w:tr>
    </w:tbl>
    <w:p w14:paraId="5E51D126" w14:textId="77777777" w:rsidR="00CE1ADE" w:rsidRPr="004F39ED" w:rsidRDefault="00CA4E27" w:rsidP="004A7ED9">
      <w:pPr>
        <w:pStyle w:val="Heading1"/>
        <w:spacing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212561370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Бюджет </w:t>
      </w:r>
      <w:r w:rsidR="00F07187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 финансови условия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минимален и максимален размер на допустимите разходи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 един проект 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 интензитет на финансовата помощ</w:t>
      </w:r>
      <w:bookmarkEnd w:id="5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3045C709" w14:textId="77777777" w:rsidTr="00234D97">
        <w:tc>
          <w:tcPr>
            <w:tcW w:w="9209" w:type="dxa"/>
          </w:tcPr>
          <w:p w14:paraId="03D18A41" w14:textId="77777777" w:rsidR="00BB005D" w:rsidRDefault="00BB005D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7D">
              <w:rPr>
                <w:rFonts w:ascii="Times New Roman" w:hAnsi="Times New Roman"/>
                <w:sz w:val="24"/>
                <w:szCs w:val="24"/>
              </w:rPr>
              <w:t>1. Общият размер на безвъзмездната финансова помощ по настоящ</w:t>
            </w:r>
            <w:r w:rsidR="00E77825" w:rsidRPr="00FF727D">
              <w:rPr>
                <w:rFonts w:ascii="Times New Roman" w:hAnsi="Times New Roman"/>
                <w:sz w:val="24"/>
                <w:szCs w:val="24"/>
              </w:rPr>
              <w:t xml:space="preserve">ата процедура </w:t>
            </w:r>
            <w:r w:rsidRPr="00FF727D">
              <w:rPr>
                <w:rFonts w:ascii="Times New Roman" w:hAnsi="Times New Roman"/>
                <w:sz w:val="24"/>
                <w:szCs w:val="24"/>
              </w:rPr>
              <w:t xml:space="preserve">възлиза на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58 674 000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>30 000 000</w:t>
            </w:r>
            <w:r w:rsidR="00186D64" w:rsidRPr="00C50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 xml:space="preserve">евро), в т.ч.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23 469 600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12 000 000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 xml:space="preserve">евро) от Европейския земеделски фонд за развитие на селските райони и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>35 204 400</w:t>
            </w:r>
            <w:r w:rsidR="00186D64" w:rsidRPr="00C50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18 000 000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евро) национално финансиране.</w:t>
            </w:r>
          </w:p>
          <w:p w14:paraId="18B1A539" w14:textId="77777777" w:rsidR="00186D64" w:rsidRPr="00FF727D" w:rsidRDefault="00186D64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43"/>
              <w:gridCol w:w="2944"/>
              <w:gridCol w:w="3062"/>
            </w:tblGrid>
            <w:tr w:rsidR="008D46FD" w:rsidRPr="004F39ED" w14:paraId="7AA7E431" w14:textId="77777777" w:rsidTr="00234D97">
              <w:trPr>
                <w:trHeight w:val="250"/>
              </w:trPr>
              <w:tc>
                <w:tcPr>
                  <w:tcW w:w="2943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21C4BBA" w14:textId="77777777"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Общият размер на безвъзмездната финансова помощ</w:t>
                  </w:r>
                </w:p>
              </w:tc>
              <w:tc>
                <w:tcPr>
                  <w:tcW w:w="6006" w:type="dxa"/>
                  <w:gridSpan w:val="2"/>
                  <w:shd w:val="clear" w:color="auto" w:fill="D9D9D9" w:themeFill="background1" w:themeFillShade="D9"/>
                </w:tcPr>
                <w:p w14:paraId="42921E79" w14:textId="77777777" w:rsidR="008D46FD" w:rsidRPr="009B7860" w:rsidRDefault="008D46FD" w:rsidP="00627E5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т.ч. от:</w:t>
                  </w:r>
                </w:p>
              </w:tc>
            </w:tr>
            <w:tr w:rsidR="008D46FD" w:rsidRPr="004F39ED" w14:paraId="3F6479D6" w14:textId="77777777" w:rsidTr="00234D97">
              <w:trPr>
                <w:trHeight w:val="355"/>
              </w:trPr>
              <w:tc>
                <w:tcPr>
                  <w:tcW w:w="2943" w:type="dxa"/>
                  <w:vMerge/>
                  <w:shd w:val="clear" w:color="auto" w:fill="D9D9D9" w:themeFill="background1" w:themeFillShade="D9"/>
                </w:tcPr>
                <w:p w14:paraId="15EA1CA5" w14:textId="77777777"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4" w:type="dxa"/>
                  <w:shd w:val="clear" w:color="auto" w:fill="D9D9D9" w:themeFill="background1" w:themeFillShade="D9"/>
                  <w:vAlign w:val="center"/>
                </w:tcPr>
                <w:p w14:paraId="5159AEB2" w14:textId="77777777"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Европейския земеделски фонд за развитие на селските райони</w:t>
                  </w:r>
                </w:p>
              </w:tc>
              <w:tc>
                <w:tcPr>
                  <w:tcW w:w="3062" w:type="dxa"/>
                  <w:shd w:val="clear" w:color="auto" w:fill="D9D9D9" w:themeFill="background1" w:themeFillShade="D9"/>
                  <w:vAlign w:val="center"/>
                </w:tcPr>
                <w:p w14:paraId="788FCAD0" w14:textId="77777777"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Принос от националния бюджет на Република България</w:t>
                  </w:r>
                </w:p>
              </w:tc>
            </w:tr>
            <w:tr w:rsidR="008D46FD" w:rsidRPr="004F39ED" w14:paraId="71226FC3" w14:textId="77777777" w:rsidTr="00234D97">
              <w:trPr>
                <w:trHeight w:val="20"/>
              </w:trPr>
              <w:tc>
                <w:tcPr>
                  <w:tcW w:w="2943" w:type="dxa"/>
                </w:tcPr>
                <w:p w14:paraId="0CA2CC5B" w14:textId="77777777" w:rsidR="008D46FD" w:rsidRPr="00FF727D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30 000 000 </w:t>
                  </w:r>
                  <w:r w:rsidR="008D46FD" w:rsidRPr="00FF727D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  <w:tc>
                <w:tcPr>
                  <w:tcW w:w="2944" w:type="dxa"/>
                  <w:vAlign w:val="center"/>
                </w:tcPr>
                <w:p w14:paraId="5C8668B8" w14:textId="77777777"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12 000 000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  <w:tc>
                <w:tcPr>
                  <w:tcW w:w="3062" w:type="dxa"/>
                  <w:vAlign w:val="center"/>
                </w:tcPr>
                <w:p w14:paraId="2B6C3462" w14:textId="77777777"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18 000 000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</w:tr>
            <w:tr w:rsidR="008D46FD" w:rsidRPr="004F39ED" w14:paraId="11D89D49" w14:textId="77777777" w:rsidTr="00234D97">
              <w:trPr>
                <w:trHeight w:val="20"/>
              </w:trPr>
              <w:tc>
                <w:tcPr>
                  <w:tcW w:w="2943" w:type="dxa"/>
                </w:tcPr>
                <w:p w14:paraId="512675B6" w14:textId="77777777"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58 674 000 </w:t>
                  </w:r>
                  <w:r w:rsidR="008D46FD" w:rsidRPr="00C50258">
                    <w:rPr>
                      <w:rFonts w:ascii="Times New Roman" w:hAnsi="Times New Roman"/>
                      <w:sz w:val="24"/>
                      <w:szCs w:val="24"/>
                    </w:rPr>
                    <w:t>лв.</w:t>
                  </w:r>
                </w:p>
              </w:tc>
              <w:tc>
                <w:tcPr>
                  <w:tcW w:w="2944" w:type="dxa"/>
                  <w:vAlign w:val="center"/>
                </w:tcPr>
                <w:p w14:paraId="4B7EBA48" w14:textId="77777777"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23 469 600</w:t>
                  </w:r>
                  <w:r w:rsidR="008D46FD" w:rsidRPr="00C502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лв.</w:t>
                  </w:r>
                </w:p>
              </w:tc>
              <w:tc>
                <w:tcPr>
                  <w:tcW w:w="3062" w:type="dxa"/>
                  <w:vAlign w:val="center"/>
                </w:tcPr>
                <w:p w14:paraId="57BD3CF6" w14:textId="77777777"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35 204 400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лв.</w:t>
                  </w:r>
                </w:p>
              </w:tc>
            </w:tr>
          </w:tbl>
          <w:p w14:paraId="3E16ACEC" w14:textId="77777777" w:rsidR="00B0603F" w:rsidRDefault="00A12F7E" w:rsidP="007705A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7D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Максималният размер </w:t>
            </w:r>
            <w:r w:rsidR="00B0603F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="00F379AE" w:rsidRPr="00462E80">
              <w:rPr>
                <w:rFonts w:ascii="Times New Roman" w:hAnsi="Times New Roman"/>
                <w:sz w:val="24"/>
                <w:szCs w:val="24"/>
                <w:lang w:val="bg-BG"/>
              </w:rPr>
              <w:t>допустимите разходи</w:t>
            </w:r>
            <w:r w:rsidR="00B0603F"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43C49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</w:t>
            </w:r>
            <w:r w:rsidR="00543C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процедурата 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един кандидат</w:t>
            </w:r>
            <w:r w:rsidR="00543C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782 320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лв.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>(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400 000</w:t>
            </w:r>
            <w:r w:rsidR="001F5D6E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евро</w:t>
            </w:r>
            <w:r w:rsidR="00F9513A"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проекти, попадащи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>в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обхвата на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>Анекс I от ДФЕС.</w:t>
            </w:r>
          </w:p>
          <w:p w14:paraId="06F4A471" w14:textId="77777777" w:rsidR="00F9513A" w:rsidRPr="00F17406" w:rsidRDefault="00A12F7E" w:rsidP="002819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F9513A" w:rsidRP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Максималният размер на </w:t>
            </w:r>
            <w:r w:rsidR="00F379AE" w:rsidRPr="00462E80">
              <w:rPr>
                <w:rFonts w:ascii="Times New Roman" w:hAnsi="Times New Roman"/>
                <w:sz w:val="24"/>
                <w:szCs w:val="24"/>
                <w:lang w:val="bg-BG"/>
              </w:rPr>
              <w:t>допустимите разходи</w:t>
            </w:r>
            <w:r w:rsidR="00F9513A"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9513A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</w:t>
            </w:r>
            <w:r w:rsidR="00F9513A" w:rsidRP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процедурата за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един кандидат е 684 530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лв.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(350 000 евро) за 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проект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и,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попадащ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и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извън обхвата на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Анекс I от ДФЕС</w:t>
            </w:r>
            <w:r w:rsidR="00F25904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</w:p>
          <w:p w14:paraId="72553A32" w14:textId="77777777" w:rsidR="00B0603F" w:rsidRPr="00F25904" w:rsidRDefault="00A12F7E" w:rsidP="00B0603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B0603F" w:rsidRPr="00FF727D">
              <w:rPr>
                <w:rFonts w:ascii="Times New Roman" w:hAnsi="Times New Roman"/>
                <w:sz w:val="24"/>
                <w:szCs w:val="24"/>
              </w:rPr>
              <w:t xml:space="preserve">. Максималният интензитет на безвъзмездната финансова помощ </w:t>
            </w:r>
            <w:r w:rsidR="005062CD">
              <w:rPr>
                <w:rFonts w:ascii="Times New Roman" w:hAnsi="Times New Roman"/>
                <w:sz w:val="24"/>
                <w:szCs w:val="24"/>
                <w:lang w:val="bg-BG"/>
              </w:rPr>
              <w:t>възлиза на</w:t>
            </w:r>
            <w:r w:rsidR="00F25904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14:paraId="4AA68461" w14:textId="77777777" w:rsidR="008D5A1F" w:rsidRPr="008D5A1F" w:rsidRDefault="00A55ADB" w:rsidP="008D5A1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а)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100 % от размера на одобрените</w:t>
            </w:r>
            <w:r w:rsidR="005C77F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разходи по т. 1, 2 и 4 от раздел 12. „Допустими разходи“</w:t>
            </w:r>
            <w:r w:rsidR="00C22EE7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FA5">
              <w:rPr>
                <w:rFonts w:ascii="Times New Roman" w:hAnsi="Times New Roman"/>
                <w:sz w:val="24"/>
                <w:szCs w:val="24"/>
                <w:lang w:val="bg-BG"/>
              </w:rPr>
              <w:t>р</w:t>
            </w:r>
            <w:r w:rsidR="00964FA5" w:rsidRPr="00964FA5">
              <w:rPr>
                <w:rFonts w:ascii="Times New Roman" w:hAnsi="Times New Roman"/>
                <w:sz w:val="24"/>
                <w:szCs w:val="24"/>
              </w:rPr>
              <w:t>азходи за осъществяване на сътрудничеството във връзка с изпълнение на новаторския проект</w:t>
            </w:r>
            <w:r w:rsidR="00964FA5">
              <w:rPr>
                <w:rFonts w:ascii="Times New Roman" w:hAnsi="Times New Roman"/>
                <w:sz w:val="24"/>
                <w:szCs w:val="24"/>
                <w:lang w:val="bg-BG"/>
              </w:rPr>
              <w:t>, п</w:t>
            </w:r>
            <w:r w:rsidR="00964FA5" w:rsidRPr="00964FA5">
              <w:rPr>
                <w:rFonts w:ascii="Times New Roman" w:hAnsi="Times New Roman"/>
                <w:sz w:val="24"/>
                <w:szCs w:val="24"/>
                <w:lang w:val="bg-BG"/>
              </w:rPr>
              <w:t>реки неинвестиционни разходи за изпълнение на новаторския проект</w:t>
            </w:r>
            <w:r w:rsidR="00964FA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р</w:t>
            </w:r>
            <w:r w:rsidR="00964FA5" w:rsidRPr="00964FA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азходи за разпространение на </w:t>
            </w:r>
            <w:r w:rsidR="00D515B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целите и </w:t>
            </w:r>
            <w:r w:rsidR="00964FA5" w:rsidRPr="00964FA5">
              <w:rPr>
                <w:rFonts w:ascii="Times New Roman" w:hAnsi="Times New Roman"/>
                <w:sz w:val="24"/>
                <w:szCs w:val="24"/>
                <w:lang w:val="bg-BG"/>
              </w:rPr>
              <w:t>резултатите от проекта</w:t>
            </w:r>
            <w:r w:rsidR="00C645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314C96" w14:textId="77777777" w:rsidR="008D5A1F" w:rsidRPr="00FF727D" w:rsidRDefault="00A55ADB" w:rsidP="008D5A1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60 % от размера на одобрените преки разходи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 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>от раздел</w:t>
            </w:r>
            <w:r w:rsidR="00F259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A70C8" w:rsidRPr="00FA70C8"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C306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FA70C8" w:rsidRPr="00FA70C8">
              <w:rPr>
                <w:rFonts w:ascii="Times New Roman" w:hAnsi="Times New Roman"/>
                <w:sz w:val="24"/>
                <w:szCs w:val="24"/>
                <w:lang w:val="bg-BG"/>
              </w:rPr>
              <w:t>Допустими разходи</w:t>
            </w:r>
            <w:r w:rsidR="00C87970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, обосновани като</w:t>
            </w:r>
            <w:r w:rsidR="008D5A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ключови за изпълнение на новаторския проект.</w:t>
            </w:r>
          </w:p>
          <w:p w14:paraId="0B53FE0C" w14:textId="77777777" w:rsidR="00560904" w:rsidRPr="007D386A" w:rsidRDefault="00A12F7E" w:rsidP="006D6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B0603F" w:rsidRPr="00FF72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B005D" w:rsidRPr="00FF727D">
              <w:rPr>
                <w:rFonts w:ascii="Times New Roman" w:hAnsi="Times New Roman"/>
                <w:sz w:val="24"/>
                <w:szCs w:val="24"/>
              </w:rPr>
              <w:t>Финансовата помощ се предоставя по реда на Закона за подпомагане на земеделските производители и Наредба № 4 от 25 октомври 2024 г.</w:t>
            </w:r>
          </w:p>
        </w:tc>
      </w:tr>
    </w:tbl>
    <w:p w14:paraId="7FF17257" w14:textId="77777777" w:rsidR="00654D70" w:rsidRPr="004F39ED" w:rsidRDefault="00654D70" w:rsidP="00B9305F">
      <w:pPr>
        <w:jc w:val="center"/>
      </w:pPr>
    </w:p>
    <w:p w14:paraId="6CBC7E25" w14:textId="77777777" w:rsidR="00654D70" w:rsidRPr="004F39ED" w:rsidRDefault="00CA4E27" w:rsidP="00E878CB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212561371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654D70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Режим на държавна помощ</w:t>
      </w:r>
      <w:bookmarkEnd w:id="6"/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3"/>
      </w:tblGrid>
      <w:tr w:rsidR="00654D70" w:rsidRPr="004F39ED" w14:paraId="066DF6B6" w14:textId="77777777" w:rsidTr="00234D97">
        <w:trPr>
          <w:trHeight w:val="1277"/>
        </w:trPr>
        <w:tc>
          <w:tcPr>
            <w:tcW w:w="9243" w:type="dxa"/>
            <w:vAlign w:val="center"/>
          </w:tcPr>
          <w:p w14:paraId="16404C1A" w14:textId="370D5810" w:rsidR="00893F2B" w:rsidRDefault="00C22EE7" w:rsidP="00270376">
            <w:pPr>
              <w:jc w:val="both"/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1.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Чрез интервенцията ще се подпомагат </w:t>
            </w:r>
            <w:r w:rsidR="000C50B1">
              <w:rPr>
                <w:rFonts w:ascii="Times New Roman" w:hAnsi="Times New Roman"/>
                <w:sz w:val="24"/>
                <w:lang w:val="bg-BG"/>
              </w:rPr>
              <w:t>и новаторски проекти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, свързани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с продукти</w:t>
            </w:r>
            <w:r w:rsidR="00D7696B">
              <w:rPr>
                <w:rFonts w:ascii="Times New Roman" w:hAnsi="Times New Roman"/>
                <w:sz w:val="24"/>
                <w:lang w:val="bg-BG"/>
              </w:rPr>
              <w:t>,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 попадащи извън обхвата на Приложение I на чл. </w:t>
            </w:r>
            <w:r w:rsidR="00817A9E">
              <w:rPr>
                <w:rFonts w:ascii="Times New Roman" w:hAnsi="Times New Roman"/>
                <w:sz w:val="24"/>
                <w:lang w:val="bg-BG"/>
              </w:rPr>
              <w:t>38</w:t>
            </w:r>
            <w:r w:rsidR="00817A9E" w:rsidRP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от ДФЕС, които същевременно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допринасят за постигане на целите на ЕПИ. </w:t>
            </w:r>
          </w:p>
          <w:p w14:paraId="3BB44242" w14:textId="77777777" w:rsidR="00893F2B" w:rsidRDefault="00C22EE7" w:rsidP="0027037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2.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Тази подкрепа попада в обхвата на чл. 39 от Регламент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(ЕС) 2022/2472 на Комисията от 14 декември 2022 година относно деклариране на някои категории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помощи в секторите на селското и горското стопанство и в селските райони за съвместими с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вътрешния пазар в приложение на членове 107 и 108 от Договора за функционирането на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270376">
              <w:rPr>
                <w:rFonts w:ascii="Times New Roman" w:hAnsi="Times New Roman"/>
                <w:sz w:val="24"/>
                <w:lang w:val="bg-BG"/>
              </w:rPr>
              <w:t>Европейския съюз (текст от значение за ЕИП)</w:t>
            </w:r>
            <w:r w:rsidR="00270376">
              <w:rPr>
                <w:rFonts w:ascii="Times New Roman" w:hAnsi="Times New Roman"/>
                <w:sz w:val="24"/>
              </w:rPr>
              <w:t xml:space="preserve">. </w:t>
            </w:r>
          </w:p>
          <w:p w14:paraId="0D5EBC64" w14:textId="77777777" w:rsidR="00A2041C" w:rsidRPr="004F39ED" w:rsidRDefault="00C22EE7" w:rsidP="0027037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3. </w:t>
            </w:r>
            <w:r w:rsidR="00270376">
              <w:rPr>
                <w:rFonts w:ascii="Times New Roman" w:hAnsi="Times New Roman"/>
                <w:sz w:val="24"/>
                <w:lang w:val="bg-BG"/>
              </w:rPr>
              <w:t>В тази връзка,</w:t>
            </w:r>
            <w:r w:rsidR="00270376" w:rsidRPr="00270376">
              <w:rPr>
                <w:rFonts w:ascii="Times New Roman" w:hAnsi="Times New Roman"/>
                <w:sz w:val="24"/>
                <w:lang w:val="bg-BG"/>
              </w:rPr>
              <w:t xml:space="preserve"> помощите за разходи, направени от предприятия, които участват в проекти на оперативните групи в рамките на ЕПИ, попадащи в обхвата на член 127 от Регламент (ЕС) 2021/2115, са съвместими с вътрешния пазар по смисъла на член 107, параграф 3, буква в) от Договора и са освободени от задължението за уведомяване по член 108, параграф 3 от Договора, ако изпълняват условията, определени в член 39 и в глава I от настоящия регламент.</w:t>
            </w:r>
          </w:p>
        </w:tc>
      </w:tr>
    </w:tbl>
    <w:p w14:paraId="439E684D" w14:textId="77777777"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212561372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Допустими </w:t>
      </w:r>
      <w:r w:rsidR="00CA452E" w:rsidRPr="004F39ED">
        <w:rPr>
          <w:rFonts w:ascii="Times New Roman" w:hAnsi="Times New Roman" w:cs="Times New Roman"/>
          <w:b/>
          <w:color w:val="auto"/>
          <w:sz w:val="28"/>
          <w:szCs w:val="28"/>
        </w:rPr>
        <w:t>кандидати</w:t>
      </w:r>
      <w:bookmarkEnd w:id="7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38E82E73" w14:textId="77777777" w:rsidTr="00234D97">
        <w:trPr>
          <w:trHeight w:val="672"/>
        </w:trPr>
        <w:tc>
          <w:tcPr>
            <w:tcW w:w="9209" w:type="dxa"/>
            <w:vAlign w:val="center"/>
          </w:tcPr>
          <w:p w14:paraId="2F14370D" w14:textId="77777777" w:rsidR="004D0E6B" w:rsidRDefault="000F035E" w:rsidP="004D0E6B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1. 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За безвъзмездна финансова помощ могат да кандидатстват оперативни групи, учредени като дружества по смисъла на чл. 357 - 364 от Закона за задълженията и договорите (ЗЗД), като участниците в групата сключват договор за дружество по чл. 357 от ЗЗД</w:t>
            </w:r>
            <w:r w:rsidR="004B593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(Приложение № 1)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, което към датата на подаване на </w:t>
            </w:r>
            <w:r w:rsidR="0070388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заявлението за кандидатстване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следва да е регистрирано в регистър БУЛСТАТ.</w:t>
            </w:r>
          </w:p>
          <w:p w14:paraId="3590C8D6" w14:textId="77777777" w:rsidR="00E34282" w:rsidRDefault="000F035E" w:rsidP="00703881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2. </w:t>
            </w:r>
            <w:r w:rsidR="0070388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Участниците в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оперативната група</w:t>
            </w:r>
            <w:r w:rsid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са най-малко двама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,</w:t>
            </w:r>
            <w:r w:rsid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и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="00641E60" w:rsidRPr="00641E6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могат да бъдат представители на една или повече от изброените </w:t>
            </w:r>
            <w:r w:rsidR="00641E60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категории допустими участници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:</w:t>
            </w:r>
          </w:p>
          <w:p w14:paraId="0E758ECA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Земеделски стопани регистрирани съгласно Наредба № 3 от 1999 г. за създаване и поддържане на регистър на земеделските стопани (ДВ, бр. 10 от 1999 г.), в т.ч. групи или организации на производители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</w:rPr>
              <w:t>,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признати от министъра на земеделието и храните;</w:t>
            </w:r>
          </w:p>
          <w:p w14:paraId="4EF39514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Физически или юридически лица, собственици/ползватели на горски територии, вписани в публичния регистър по чл. 235 или 241 от Закона за горите;</w:t>
            </w:r>
          </w:p>
          <w:p w14:paraId="71AAF4DB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браншови организации за производство и преработка на селскостопански продукти</w:t>
            </w:r>
            <w:r w:rsidR="00D7696B" w:rsidRPr="00A91898">
              <w:rPr>
                <w:rFonts w:ascii="Times New Roman" w:eastAsia="Times New Roman" w:hAnsi="Times New Roman"/>
                <w:noProof/>
                <w:sz w:val="24"/>
                <w:szCs w:val="24"/>
              </w:rPr>
              <w:t>;</w:t>
            </w:r>
          </w:p>
          <w:p w14:paraId="46807888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науките, както и специализирани държавни структури в областта на науката и научните изследвания и анализа и оценката на риска по агрохранителната верига;</w:t>
            </w:r>
          </w:p>
          <w:p w14:paraId="499CE6BA" w14:textId="77777777" w:rsidR="00703881" w:rsidRPr="00AA3C90" w:rsidRDefault="00D71972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Висши училища, акредитирани по Закона за висшето образование с актуални акредитации по професионални направления „Растениевъдство“, „Растителна защита“, „Животновъдство“, „Ветеринарна медицина“, „Горско стопанство“, „Хранителни технологии“, „Биотехнологии“, „Науки за земята“, „Икономика (специалност аграрен бизнес и екои</w:t>
            </w:r>
            <w:r w:rsidR="00F25904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номика)“ и професионални гимназии в областта на селското стопанство</w:t>
            </w:r>
            <w:r w:rsidR="00703881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;</w:t>
            </w:r>
          </w:p>
          <w:p w14:paraId="234C47F0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дигиталните/цифрови технологии;</w:t>
            </w:r>
          </w:p>
          <w:p w14:paraId="407077E9" w14:textId="77777777"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Микро, малки и средни предприятия (МСП</w:t>
            </w:r>
            <w:r w:rsidR="00E67E52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) в областта на преработката на селскостопански продукти,</w:t>
            </w:r>
            <w:r w:rsidR="00E67E52">
              <w:t xml:space="preserve"> </w:t>
            </w:r>
            <w:r w:rsidR="00E67E52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посочени в Приложен</w:t>
            </w:r>
            <w:r w:rsidR="0055519E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ие № I от ДФЕС (Приложение № </w:t>
            </w:r>
            <w:r w:rsidR="00E025F9">
              <w:rPr>
                <w:rFonts w:ascii="Times New Roman" w:eastAsia="Times New Roman" w:hAnsi="Times New Roman"/>
                <w:noProof/>
                <w:sz w:val="24"/>
                <w:szCs w:val="24"/>
              </w:rPr>
              <w:t>2</w:t>
            </w:r>
            <w:r w:rsidR="0055519E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);</w:t>
            </w:r>
          </w:p>
          <w:p w14:paraId="35B5088D" w14:textId="77777777" w:rsidR="00641E60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Консултантски организации или индивидуални съветници с предмет на консултантската дейност в </w:t>
            </w:r>
            <w:r w:rsidR="009A3BA8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сферата</w:t>
            </w:r>
            <w:r w:rsidR="009A3BA8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на селското стопанство или храните или горите в т.ч. НССЗ.</w:t>
            </w:r>
          </w:p>
          <w:p w14:paraId="7D15DA11" w14:textId="77777777" w:rsidR="00703881" w:rsidRDefault="00641E60" w:rsidP="004E0BC5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3</w:t>
            </w:r>
            <w:r w:rsidR="00642D7D" w:rsidRP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. Участието на земеделските стопани в </w:t>
            </w:r>
            <w:r w:rsidR="005D39D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оперативната група</w:t>
            </w:r>
            <w:r w:rsidR="00642D7D" w:rsidRP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е задължително, с изключение на случаите, когато проектът е свързан с горско стопанство, в който задължително следва да участва физическо или юридическо лице, собственик/ползвател на горски територии, вписани в публичния регистър по чл. 235 или 241 от Закона за горите.</w:t>
            </w:r>
          </w:p>
          <w:p w14:paraId="4A5BBE01" w14:textId="77777777" w:rsidR="00C22EE7" w:rsidRDefault="00C22EE7" w:rsidP="00642D7D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4. 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Членовете в оперативната група могат да участват в повече от една оперативна група, която представя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заявление за подпомагане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CA1E4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по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054A89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настоящата</w:t>
            </w:r>
            <w:r w:rsidR="00CA1E4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процедура</w:t>
            </w:r>
            <w:r w:rsidR="0016040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.</w:t>
            </w:r>
          </w:p>
          <w:p w14:paraId="3C9501B5" w14:textId="77777777" w:rsidR="00E34282" w:rsidRDefault="00E34282" w:rsidP="0022746C">
            <w:pPr>
              <w:shd w:val="clear" w:color="auto" w:fill="DEEAF6" w:themeFill="accent1" w:themeFillTin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B6F5253" w14:textId="77777777" w:rsidR="001E7DCD" w:rsidRDefault="00C22EE7" w:rsidP="001E7DCD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22746C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E34282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заявлението за подпомагане в СЕУ се посочва информация за </w:t>
            </w:r>
            <w:r w:rsidR="00D430C5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оперативната група и участниците в нея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054A89">
              <w:rPr>
                <w:rFonts w:ascii="Times New Roman" w:hAnsi="Times New Roman"/>
                <w:sz w:val="24"/>
                <w:szCs w:val="24"/>
              </w:rPr>
              <w:t>Всеки един от членовете на оперативната група задължително определя най-малко едно лице, което да се включи в екипа на оперативната група за целите на проекта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38B5FE43" w14:textId="77777777" w:rsidR="004B5930" w:rsidRPr="004D0E6B" w:rsidRDefault="00C22EE7" w:rsidP="004B593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. Условията за допустимост на кандидатите се проверяват служебно. Документите, които трябва да се приложат към заявлението за подпомагане, за да се удостовери допустимостта на кандидата</w:t>
            </w:r>
            <w:r w:rsidR="003F0D65" w:rsidRPr="009358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които не е възможно извършване на служебна проверка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, са посочени в Раздел 1</w:t>
            </w:r>
            <w:r w:rsidR="00A70822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„Изискуеми документи, в т.ч. документи, доказващи съответствие с критерии за подбор“.</w:t>
            </w:r>
          </w:p>
        </w:tc>
      </w:tr>
    </w:tbl>
    <w:p w14:paraId="3E4AD103" w14:textId="77777777" w:rsidR="00D430C5" w:rsidRDefault="00D430C5" w:rsidP="00D430C5">
      <w:pPr>
        <w:pStyle w:val="Heading1"/>
        <w:tabs>
          <w:tab w:val="left" w:pos="921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212561373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Условия за допустимост на кандидатите</w:t>
      </w:r>
      <w:bookmarkEnd w:id="8"/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tbl>
      <w:tblPr>
        <w:tblW w:w="91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9"/>
      </w:tblGrid>
      <w:tr w:rsidR="00D430C5" w14:paraId="44515CD5" w14:textId="77777777" w:rsidTr="00D430C5">
        <w:trPr>
          <w:trHeight w:val="1243"/>
        </w:trPr>
        <w:tc>
          <w:tcPr>
            <w:tcW w:w="9119" w:type="dxa"/>
          </w:tcPr>
          <w:p w14:paraId="574134C2" w14:textId="77777777" w:rsidR="00D430C5" w:rsidRPr="00861750" w:rsidRDefault="00D430C5" w:rsidP="00D430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430C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Оперативната група </w:t>
            </w:r>
            <w:r w:rsidRPr="00D430C5">
              <w:rPr>
                <w:rFonts w:ascii="Times New Roman" w:hAnsi="Times New Roman"/>
                <w:sz w:val="24"/>
                <w:szCs w:val="24"/>
              </w:rPr>
              <w:t xml:space="preserve">се сформира за изпълнение на конкретен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 w:rsidR="000B4300" w:rsidRPr="00D43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0C5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86175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като това се описва в целите на договор </w:t>
            </w:r>
            <w:r w:rsidR="00861750" w:rsidRPr="00861750">
              <w:rPr>
                <w:rFonts w:ascii="Times New Roman" w:hAnsi="Times New Roman"/>
                <w:sz w:val="24"/>
                <w:szCs w:val="24"/>
                <w:lang w:val="bg-BG"/>
              </w:rPr>
              <w:t>по ЗЗД за сформиране и функциониране на оперативна група</w:t>
            </w:r>
            <w:r w:rsidR="005E58E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ролята в него на всеки един от участниците</w:t>
            </w:r>
            <w:r w:rsidR="0086175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7B91DA0E" w14:textId="77777777" w:rsidR="00D430C5" w:rsidRDefault="00861750" w:rsidP="0086175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Промяната в членовете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оперативната група след подаване на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заявлението за подпомагане 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>може да бъде свързано само 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ъс замяна на конкретен член</w:t>
            </w:r>
            <w:r w:rsidR="003262A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4A1F2A">
              <w:rPr>
                <w:rFonts w:ascii="Times New Roman" w:hAnsi="Times New Roman"/>
                <w:sz w:val="24"/>
                <w:szCs w:val="24"/>
                <w:lang w:val="bg-BG"/>
              </w:rPr>
              <w:t>от оперативната група с друг, който отговаря на същите условия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2567344A" w14:textId="77777777" w:rsidR="000A4CB9" w:rsidRDefault="006C1A3F" w:rsidP="006C1A3F">
            <w:pPr>
              <w:spacing w:after="12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 w:rsidRPr="009A50BE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3. Земеделските стопани, участници в оперативната група, следва да са регистрирани по реда на Наредба № 3 от 1999 г. за създаване и поддържане на регистър на земеделските стопани (ДВ, бр. 10 от 1999 г.)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034DAF43" w14:textId="77777777" w:rsidR="0055519E" w:rsidRPr="00703881" w:rsidRDefault="00FB1521" w:rsidP="0055519E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B152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>Участниците в оперативната група по т. 2, буква „ж“</w:t>
            </w:r>
            <w:r w:rsidR="00074D3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7 „Допустими кандидати“</w:t>
            </w:r>
            <w:r w:rsidR="00F874F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следва да имат основен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допълнителен 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код на икономическа дейност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по </w:t>
            </w:r>
            <w:r w:rsidR="0055519E" w:rsidRPr="00386C38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Класификация на икономическите дейности (КИД-</w:t>
            </w:r>
            <w:r w:rsidR="009A50BE" w:rsidRPr="00386C38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2025</w:t>
            </w:r>
            <w:r w:rsidR="0055519E" w:rsidRPr="00386C38">
              <w:rPr>
                <w:rFonts w:ascii="Times New Roman" w:eastAsia="Times New Roman" w:hAnsi="Times New Roman"/>
                <w:noProof/>
                <w:sz w:val="24"/>
                <w:szCs w:val="24"/>
              </w:rPr>
              <w:t>)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от Раздел 10 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„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Производство на хранителни продукти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“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и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ли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код 11.02</w:t>
            </w:r>
            <w:r w:rsidR="000B4300">
              <w:rPr>
                <w:lang w:val="bg-BG"/>
              </w:rPr>
              <w:t xml:space="preserve"> </w:t>
            </w:r>
            <w:r w:rsidR="000B430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Производство на вина от грозде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“</w:t>
            </w:r>
            <w:r w:rsidR="009A50BE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на сектор С </w:t>
            </w:r>
            <w:r w:rsidR="00065273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„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Преработваща промишленост</w:t>
            </w:r>
            <w:r w:rsidR="00065273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“</w:t>
            </w:r>
            <w:r w:rsidR="003262A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за последната завършена финансова година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. </w:t>
            </w:r>
          </w:p>
          <w:p w14:paraId="56494F8A" w14:textId="77777777" w:rsidR="0055519E" w:rsidRDefault="0055519E" w:rsidP="006C1A3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Участниците в оперативната група по т. 2, буква „</w:t>
            </w:r>
            <w:r w:rsidR="00074D38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“ от раздел 7 „Допустими кандидати“</w:t>
            </w:r>
            <w:r w:rsidR="00074D38">
              <w:t xml:space="preserve">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следва да</w:t>
            </w:r>
            <w:r w:rsidR="00074D38">
              <w:rPr>
                <w:lang w:val="bg-BG"/>
              </w:rPr>
              <w:t xml:space="preserve">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извършват консултантска дейност в сферата на селското/горско стопанство или храните.</w:t>
            </w:r>
          </w:p>
          <w:p w14:paraId="557D55CC" w14:textId="77777777" w:rsidR="00FB1521" w:rsidRPr="007003ED" w:rsidRDefault="00166F07" w:rsidP="005A72A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 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За да бъде одобрено заявлението</w:t>
            </w:r>
            <w:r w:rsidR="00054A89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подпомагане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участието </w:t>
            </w:r>
            <w:r w:rsidR="00386C38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всеки един от членовете 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в оперативната група следва да бъде надлежно обосновано като необходимо за постигане на целите на новаторския проект.</w:t>
            </w:r>
          </w:p>
        </w:tc>
      </w:tr>
    </w:tbl>
    <w:p w14:paraId="00633C89" w14:textId="77777777" w:rsidR="00CA4E27" w:rsidRPr="004F39ED" w:rsidRDefault="00272AA3" w:rsidP="00CA4E27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21256137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</w:t>
      </w:r>
      <w:r w:rsidR="00CA4E27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Условия за недопустимост на кандидатите</w:t>
      </w:r>
      <w:bookmarkEnd w:id="9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A4E27" w:rsidRPr="004F39ED" w14:paraId="26A1E087" w14:textId="77777777" w:rsidTr="00234D97">
        <w:trPr>
          <w:trHeight w:val="820"/>
        </w:trPr>
        <w:tc>
          <w:tcPr>
            <w:tcW w:w="9209" w:type="dxa"/>
          </w:tcPr>
          <w:p w14:paraId="7A160F7C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Потенциалните кандидати и членовете на оперативната група </w:t>
            </w:r>
            <w:r w:rsidR="00AF49E8" w:rsidRPr="00AF49E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могат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участват в п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роцедурата за подбор 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>и да получат безвъзмездна финансова помощ, в случай че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B5CFF56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1.1</w:t>
            </w:r>
            <w:r w:rsidR="00BF4665" w:rsidRPr="004F39ED">
              <w:rPr>
                <w:rFonts w:ascii="Times New Roman" w:hAnsi="Times New Roman"/>
                <w:sz w:val="24"/>
                <w:szCs w:val="24"/>
              </w:rPr>
              <w:t>.</w:t>
            </w:r>
            <w:r w:rsidR="00C50258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C50258">
              <w:rPr>
                <w:rFonts w:ascii="Times New Roman" w:hAnsi="Times New Roman"/>
                <w:sz w:val="24"/>
                <w:szCs w:val="24"/>
              </w:rPr>
              <w:t xml:space="preserve"> изпълнил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разпореждане на Европейската комисия за възстановяване на предоставената им неправомерна и несъвместима държавна помощ;</w:t>
            </w:r>
          </w:p>
          <w:p w14:paraId="79BC4EB2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F164F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физическо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лице, представляващо кандидата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членовете на оперативната група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, е налице някое от следните обстоятелства: </w:t>
            </w:r>
          </w:p>
          <w:p w14:paraId="4823F54E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1.2.1. осъден е с влязла в сила присъда, за престъпление по чл. 108а,  чл. </w:t>
            </w:r>
            <w:r w:rsidR="00BF5872">
              <w:rPr>
                <w:rFonts w:ascii="Times New Roman" w:hAnsi="Times New Roman"/>
                <w:sz w:val="24"/>
                <w:szCs w:val="24"/>
              </w:rPr>
              <w:t>159а -159г,  чл. 172, чл. 192а,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чл. 194- 217, чл. 219 – 252, чл. 253 – 260, чл. 301 – 307,  чл. 321, чл. 321а, и чл. 352 - 353е от Наказателния кодекс;</w:t>
            </w:r>
          </w:p>
          <w:p w14:paraId="268687E1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1.2.2. осъден е с влязла в сила присъда, за престъпление, аналогично на тези по т. 1.2.1, в друга държава членка или трета страна;</w:t>
            </w:r>
          </w:p>
          <w:p w14:paraId="121794B7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1.2.3. налице е конфликт на интереси, който не може да бъде отстранен;</w:t>
            </w:r>
          </w:p>
          <w:p w14:paraId="2DB0D905" w14:textId="77777777" w:rsidR="00F735C3" w:rsidRPr="004F39ED" w:rsidRDefault="00C50258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има</w:t>
            </w:r>
            <w:r w:rsidR="00F735C3" w:rsidRPr="004F39E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</w:t>
            </w:r>
            <w:r w:rsidR="00F735C3" w:rsidRPr="007D4255">
              <w:rPr>
                <w:rFonts w:ascii="Times New Roman" w:hAnsi="Times New Roman"/>
                <w:sz w:val="24"/>
                <w:szCs w:val="24"/>
                <w:lang w:val="bg-BG"/>
              </w:rPr>
              <w:t>2, т. 1 от Данъчно-осигурителния процесуален кодекс и лихвите по тях, към държавата или към Столична община или 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7482528E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1.4. е налице неравнопоставеност, в случаите по чл. 44, ал. 5 от ЗОП;</w:t>
            </w:r>
          </w:p>
          <w:p w14:paraId="46A60533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1.5. е установено с акт на компетентен орган, че:</w:t>
            </w:r>
          </w:p>
          <w:p w14:paraId="6A2259DB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C50258">
              <w:rPr>
                <w:rFonts w:ascii="Times New Roman" w:hAnsi="Times New Roman"/>
                <w:sz w:val="24"/>
                <w:szCs w:val="24"/>
              </w:rPr>
              <w:t>е представил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42DE08B7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б) не </w:t>
            </w:r>
            <w:r w:rsidR="00C50258">
              <w:rPr>
                <w:rFonts w:ascii="Times New Roman" w:hAnsi="Times New Roman"/>
                <w:sz w:val="24"/>
                <w:szCs w:val="24"/>
              </w:rPr>
              <w:t>е предоставил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      </w:r>
          </w:p>
          <w:p w14:paraId="5B012C5F" w14:textId="77777777" w:rsidR="00F735C3" w:rsidRPr="004F39ED" w:rsidRDefault="00F735C3" w:rsidP="002B107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1.6. е установено с влязло в сила наказателно постановление или съдебно решение, нарушение на чл. 61, ал. 1, чл. 62, ал.</w:t>
            </w:r>
            <w:r w:rsidR="00BF5872">
              <w:rPr>
                <w:rFonts w:ascii="Times New Roman" w:hAnsi="Times New Roman"/>
                <w:sz w:val="24"/>
                <w:szCs w:val="24"/>
              </w:rPr>
              <w:t xml:space="preserve"> 1 или 3, чл. 63, ал. 1 или 2,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чл. 118, чл. 128, чл. 228,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lastRenderedPageBreak/>
              <w:t>ал. 3, чл. 245 и чл. 301 - 305 от Кодекса на труда или на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оято кандидатите са установени;</w:t>
            </w:r>
          </w:p>
          <w:p w14:paraId="571014D3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2. Изискванията по т. 1.3  не се прилагат, когато размерът на неплатените дължими данъци или социално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-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осигурителни вноски е не повече от 1 на сто от сумата на годишния общ оборот за последната приключена финансова година, но не повече от 50 000 лeвa.</w:t>
            </w:r>
          </w:p>
          <w:p w14:paraId="1EFBB41A" w14:textId="77777777" w:rsidR="00F735C3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 Изпълнението на изискванията по т. 1 се проверяват служебно, с изключение на:</w:t>
            </w:r>
          </w:p>
          <w:p w14:paraId="39390DEE" w14:textId="77777777" w:rsidR="00F164F1" w:rsidRPr="004F39ED" w:rsidRDefault="00F164F1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9">
              <w:rPr>
                <w:rFonts w:ascii="Times New Roman" w:hAnsi="Times New Roman"/>
                <w:sz w:val="24"/>
                <w:szCs w:val="24"/>
              </w:rPr>
              <w:t>3.1 липсата на задължения от общината по седалищ</w:t>
            </w:r>
            <w:r w:rsidR="00E2316B">
              <w:rPr>
                <w:rFonts w:ascii="Times New Roman" w:hAnsi="Times New Roman"/>
                <w:sz w:val="24"/>
                <w:szCs w:val="24"/>
              </w:rPr>
              <w:t>е на кандидат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/членовете на оперативната група</w:t>
            </w:r>
            <w:r w:rsidR="00E2316B">
              <w:rPr>
                <w:rFonts w:ascii="Times New Roman" w:hAnsi="Times New Roman"/>
                <w:sz w:val="24"/>
                <w:szCs w:val="24"/>
              </w:rPr>
              <w:t>, което се доказва</w:t>
            </w:r>
            <w:r w:rsidRPr="00305AD9">
              <w:rPr>
                <w:rFonts w:ascii="Times New Roman" w:hAnsi="Times New Roman"/>
                <w:sz w:val="24"/>
                <w:szCs w:val="24"/>
              </w:rPr>
              <w:t xml:space="preserve"> от задължените лица с удостоверение, издаден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Pr="00305AD9">
              <w:rPr>
                <w:rFonts w:ascii="Times New Roman" w:hAnsi="Times New Roman"/>
                <w:sz w:val="24"/>
                <w:szCs w:val="24"/>
              </w:rPr>
              <w:t xml:space="preserve"> от съответната община.</w:t>
            </w:r>
          </w:p>
          <w:p w14:paraId="5CD83E0C" w14:textId="77777777" w:rsidR="00F735C3" w:rsidRPr="004F39ED" w:rsidRDefault="002B107F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</w:t>
            </w:r>
            <w:r w:rsidR="00F164F1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F735C3" w:rsidRPr="004F39ED">
              <w:rPr>
                <w:rFonts w:ascii="Times New Roman" w:hAnsi="Times New Roman"/>
                <w:sz w:val="24"/>
                <w:szCs w:val="24"/>
              </w:rPr>
              <w:t xml:space="preserve">. за обстоятелствата по т. 1.2.3,  т. 1.4 и т.1.5 - с </w:t>
            </w:r>
            <w:r w:rsidR="00F735C3" w:rsidRPr="001E7DCD">
              <w:rPr>
                <w:rFonts w:ascii="Times New Roman" w:hAnsi="Times New Roman"/>
                <w:sz w:val="24"/>
                <w:szCs w:val="24"/>
                <w:lang w:val="bg-BG"/>
              </w:rPr>
              <w:t>декларация (</w:t>
            </w:r>
            <w:r w:rsidR="00F735C3" w:rsidRPr="001E7DCD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E025F9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  <w:r w:rsidR="00F735C3" w:rsidRPr="006A5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14:paraId="6ED14359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 Основанията за отстраняване по т. 1. се прилагат до изтичане на следните срокове: </w:t>
            </w:r>
          </w:p>
          <w:p w14:paraId="6D11AA3C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4.1.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59BCB835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4.2. пет години от влизането в сила на присъдата по отношение на обстоятелства по т.  1.2.1 и 1.2.2, освен ако в присъдата е посочен друг срок на наказанието;</w:t>
            </w:r>
          </w:p>
          <w:p w14:paraId="37F39F33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4.3. три години от влизането в сила на акт на компетентните органи съгласно законодателството на държавата, в която е извършено нарушението, по отнош</w:t>
            </w:r>
            <w:r w:rsidR="004E0BC5">
              <w:rPr>
                <w:rFonts w:ascii="Times New Roman" w:hAnsi="Times New Roman"/>
                <w:sz w:val="24"/>
                <w:szCs w:val="24"/>
              </w:rPr>
              <w:t>ение на обстоятелства по т. 1.5,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буква „а“  или т. 1.6.</w:t>
            </w:r>
          </w:p>
          <w:p w14:paraId="182F281E" w14:textId="77777777"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5. Кандида</w:t>
            </w:r>
            <w:r w:rsidR="00B14B56">
              <w:rPr>
                <w:rFonts w:ascii="Times New Roman" w:hAnsi="Times New Roman"/>
                <w:sz w:val="24"/>
                <w:szCs w:val="24"/>
              </w:rPr>
              <w:t>т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членове на оперативната група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, за ко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то е налице обстоятелство п</w:t>
            </w:r>
            <w:r w:rsidR="00B14B56">
              <w:rPr>
                <w:rFonts w:ascii="Times New Roman" w:hAnsi="Times New Roman"/>
                <w:sz w:val="24"/>
                <w:szCs w:val="24"/>
              </w:rPr>
              <w:t>о т. 1 от настоящия раздел, има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право да представ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ят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доказателства при подаване на заявлението за подпомагане или в срок до 10 дни от получаване на уведомление  за констатираните обстоятелства по т. 1, че 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B14B56">
              <w:rPr>
                <w:rFonts w:ascii="Times New Roman" w:hAnsi="Times New Roman"/>
                <w:sz w:val="24"/>
                <w:szCs w:val="24"/>
              </w:rPr>
              <w:t xml:space="preserve"> предприел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действия за тяхното отстраняване съгласно чл. 56 от ЗОП.</w:t>
            </w:r>
          </w:p>
          <w:p w14:paraId="6422D067" w14:textId="77777777" w:rsidR="00CA4E27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6. Не се дава предимство, а даденото предимство се отнема в случаите, когато бъде установено, че кандидатът е създал изкуствено условията, необходими за получаване на това предимство, в противоречие с целите на европейското право и действащото законодателство в областта на селското стопанство.</w:t>
            </w:r>
          </w:p>
        </w:tc>
      </w:tr>
    </w:tbl>
    <w:p w14:paraId="2B2F5E1B" w14:textId="77777777" w:rsidR="00CE1ADE" w:rsidRPr="004F39ED" w:rsidRDefault="00272AA3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212561375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10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Допустими дейности</w:t>
      </w:r>
      <w:bookmarkEnd w:id="10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0C4DAEAD" w14:textId="77777777" w:rsidTr="004A7ED9">
        <w:trPr>
          <w:trHeight w:val="411"/>
        </w:trPr>
        <w:tc>
          <w:tcPr>
            <w:tcW w:w="9209" w:type="dxa"/>
          </w:tcPr>
          <w:p w14:paraId="5339FB16" w14:textId="77777777" w:rsidR="00650CCE" w:rsidRPr="00650CCE" w:rsidRDefault="00650CCE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="000A4CB9" w:rsidRPr="000A4CB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процедурата се подкрепят </w:t>
            </w:r>
            <w:r w:rsidR="00FA32BB" w:rsidRPr="00934D45">
              <w:rPr>
                <w:rFonts w:ascii="Times New Roman" w:hAnsi="Times New Roman"/>
                <w:sz w:val="24"/>
                <w:szCs w:val="24"/>
                <w:lang w:val="bg-BG"/>
              </w:rPr>
              <w:t>новатор</w:t>
            </w:r>
            <w:r w:rsidR="005D5067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="00FA32BB" w:rsidRPr="00934D4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ки </w:t>
            </w:r>
            <w:r w:rsidR="00FA32BB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проекти</w:t>
            </w:r>
            <w:r w:rsidRP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5D5067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включващи</w:t>
            </w:r>
            <w:r w:rsid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следните дейности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14:paraId="72626D8E" w14:textId="77777777" w:rsidR="00650CCE" w:rsidRPr="00650CCE" w:rsidRDefault="00650CCE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0D7762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="000D7762"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съществяване 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сътрудничеството във връзка с изпълнение на </w:t>
            </w:r>
            <w:r w:rsidR="00FA32B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новаторския 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проект; </w:t>
            </w:r>
          </w:p>
          <w:p w14:paraId="4511D660" w14:textId="77777777" w:rsidR="00650CCE" w:rsidRPr="000A4CB9" w:rsidRDefault="00FA32BB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Pr="000D7762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="00650CCE" w:rsidRPr="000D7762">
              <w:rPr>
                <w:rFonts w:ascii="Times New Roman" w:hAnsi="Times New Roman"/>
                <w:sz w:val="24"/>
                <w:szCs w:val="24"/>
                <w:lang w:val="bg-BG"/>
              </w:rPr>
              <w:t>реки дейности за и</w:t>
            </w:r>
            <w:r w:rsidR="000A4CB9" w:rsidRPr="000D776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зпълнение на </w:t>
            </w:r>
            <w:r w:rsidRPr="000D7762"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</w:t>
            </w:r>
            <w:r w:rsidR="000A4CB9" w:rsidRPr="000D776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проект;</w:t>
            </w:r>
          </w:p>
          <w:p w14:paraId="5859E908" w14:textId="77777777" w:rsidR="000D7762" w:rsidRPr="00DB4DAF" w:rsidRDefault="00E32EDD" w:rsidP="009A3BA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FA32BB" w:rsidRPr="00FA32B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дейности, свързани с </w:t>
            </w:r>
            <w:r w:rsidR="009A3B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популяризиране </w:t>
            </w:r>
            <w:r w:rsidR="00FA32BB" w:rsidRPr="00FA32B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="009A3B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целите и </w:t>
            </w:r>
            <w:r w:rsidR="00FA32BB" w:rsidRPr="00FA32BB">
              <w:rPr>
                <w:rFonts w:ascii="Times New Roman" w:hAnsi="Times New Roman"/>
                <w:sz w:val="24"/>
                <w:szCs w:val="24"/>
                <w:lang w:val="bg-BG"/>
              </w:rPr>
              <w:t>резултатите от проекта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</w:tbl>
    <w:p w14:paraId="1B32E35D" w14:textId="77777777" w:rsidR="00CE1ADE" w:rsidRPr="004F39ED" w:rsidRDefault="00CA4E27" w:rsidP="002053DF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212561376"/>
      <w:r w:rsidRPr="00D63741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CE1ADE" w:rsidRPr="00D63741">
        <w:rPr>
          <w:rFonts w:ascii="Times New Roman" w:hAnsi="Times New Roman" w:cs="Times New Roman"/>
          <w:b/>
          <w:color w:val="auto"/>
          <w:sz w:val="28"/>
          <w:szCs w:val="28"/>
        </w:rPr>
        <w:t>. Условия за допустимост на дейностите</w:t>
      </w:r>
      <w:r w:rsidR="00D65705" w:rsidRPr="00D637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срок за изпълнение на </w:t>
      </w:r>
      <w:r w:rsidR="00457A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одобрените </w:t>
      </w:r>
      <w:r w:rsidR="004067B1" w:rsidRPr="004067B1">
        <w:rPr>
          <w:rFonts w:ascii="Times New Roman" w:hAnsi="Times New Roman" w:cs="Times New Roman"/>
          <w:b/>
          <w:color w:val="auto"/>
          <w:sz w:val="28"/>
          <w:szCs w:val="28"/>
        </w:rPr>
        <w:t>заявления за подпомагане</w:t>
      </w:r>
      <w:r w:rsidR="004067B1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bookmarkEnd w:id="11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3B603C3C" w14:textId="77777777" w:rsidTr="00234D97">
        <w:tc>
          <w:tcPr>
            <w:tcW w:w="9209" w:type="dxa"/>
          </w:tcPr>
          <w:p w14:paraId="0A492953" w14:textId="26C8264A" w:rsidR="009A283E" w:rsidRPr="009A283E" w:rsidRDefault="009A283E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51694B"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Допустимите за подпомагане дейности в рамките на интервенцията следва да са свързани с производството, преработката и/или маркетинга на продукти, включени в </w:t>
            </w:r>
            <w:r w:rsidR="00FF666F">
              <w:rPr>
                <w:rFonts w:ascii="Times New Roman" w:hAnsi="Times New Roman"/>
                <w:sz w:val="24"/>
                <w:szCs w:val="24"/>
                <w:lang w:val="bg-BG"/>
              </w:rPr>
              <w:t>Приложение</w:t>
            </w:r>
            <w:r w:rsidR="00FF666F"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F66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Договора за функциониране на Европейския съюз (ДФЕС) или памук, с изключение на риба и рибни продукти и/или с продукти в т.ч. отпадъчни или 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странични продукти получени в резултат на производството и/или преработката на продукти, включени в </w:t>
            </w:r>
            <w:r w:rsidR="00FF666F">
              <w:rPr>
                <w:rFonts w:ascii="Times New Roman" w:hAnsi="Times New Roman"/>
                <w:sz w:val="24"/>
                <w:szCs w:val="24"/>
                <w:lang w:val="bg-BG"/>
              </w:rPr>
              <w:t>Приложение</w:t>
            </w:r>
            <w:r w:rsidR="00FF666F"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F66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ДФЕС.</w:t>
            </w:r>
          </w:p>
          <w:p w14:paraId="33C31405" w14:textId="6771AA44" w:rsidR="009A283E" w:rsidRDefault="009A283E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 xml:space="preserve">Допустими за подпомагане са и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заявления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, включващи дейности, чиито краен продукт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 xml:space="preserve">попада извън обхвата на </w:t>
            </w:r>
            <w:r w:rsidR="00FF666F">
              <w:rPr>
                <w:rFonts w:ascii="Times New Roman" w:hAnsi="Times New Roman"/>
                <w:sz w:val="24"/>
                <w:szCs w:val="24"/>
                <w:lang w:val="bg-BG"/>
              </w:rPr>
              <w:t>Приложение</w:t>
            </w:r>
            <w:r w:rsidR="00FF666F"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F66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 xml:space="preserve"> от ДФЕС, при условие, че включват земеделски и/или горски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стопани, участващи в оперативната група и са насочени към постигане на една или няколко от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специфичните цели, адресирани в Стратегическия план.</w:t>
            </w:r>
          </w:p>
          <w:p w14:paraId="5DE3C680" w14:textId="77777777" w:rsidR="009A283E" w:rsidRPr="00FF2285" w:rsidRDefault="00AF4E56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>Финансова помощ не се предоставя, ако за конкретна дейност</w:t>
            </w:r>
            <w:r w:rsidR="000D7762">
              <w:rPr>
                <w:rFonts w:ascii="Times New Roman" w:hAnsi="Times New Roman"/>
                <w:sz w:val="24"/>
                <w:szCs w:val="24"/>
                <w:lang w:val="bg-BG"/>
              </w:rPr>
              <w:t>, предвидена в заявлението,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 кандидатът или член на оперативната група е получил публична финансова помощ от държавния бюджет или от бюджета на Европейския съюз</w:t>
            </w:r>
            <w:r w:rsidR="00FF2285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06430FAB" w14:textId="77777777" w:rsidR="00AF4E56" w:rsidRDefault="00AF4E56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CD393F" w:rsidRPr="00AF4E56">
              <w:rPr>
                <w:rFonts w:ascii="Times New Roman" w:hAnsi="Times New Roman"/>
                <w:sz w:val="24"/>
                <w:szCs w:val="24"/>
              </w:rPr>
              <w:t>За да подлежат на подпомагане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>, о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перативните групи представят 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 за </w:t>
            </w:r>
            <w:r w:rsidR="009B2458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5A3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E025F9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0D7762" w:rsidRP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>Инфо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р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мацията в новаторския проект следва да отговаря на изискването за </w:t>
            </w:r>
            <w:r w:rsidR="00FF228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минимално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съдържание, как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то е описано във всеки раздел на 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образеца</w:t>
            </w:r>
            <w:r w:rsidR="00865C9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55BCCD90" w14:textId="77777777" w:rsidR="00A270EF" w:rsidRDefault="00A270EF" w:rsidP="00A270EF">
            <w:pPr>
              <w:spacing w:after="1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>Дейности</w:t>
            </w:r>
            <w:r w:rsidR="00CC05A3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съответните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разходи, предвидени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 проект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>, трябва да бъдат подробно обосновани в съответствие със заложените цели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>
              <w:t xml:space="preserve"> </w:t>
            </w:r>
          </w:p>
          <w:p w14:paraId="4727013A" w14:textId="77777777" w:rsidR="000D7762" w:rsidRPr="00A270EF" w:rsidRDefault="00A270EF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0EF">
              <w:rPr>
                <w:rFonts w:ascii="Times New Roman" w:hAnsi="Times New Roman"/>
                <w:lang w:val="bg-BG"/>
              </w:rPr>
              <w:t>6</w:t>
            </w:r>
            <w:r>
              <w:rPr>
                <w:lang w:val="bg-BG"/>
              </w:rPr>
              <w:t>.</w:t>
            </w:r>
            <w:r w:rsidR="004A1CFA">
              <w:rPr>
                <w:lang w:val="bg-BG"/>
              </w:rPr>
              <w:t xml:space="preserve"> 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Предвидените дейности следва да отговарят на принципите за добро финансово управление - икономичност, ефикасност и ефективност на вложените средства съгласно чл. 33 на Регламент (ЕС, Евратом) № 2018/1046 на Европейския парламент и на Съвета: </w:t>
            </w:r>
          </w:p>
          <w:p w14:paraId="3E66E7D6" w14:textId="77777777" w:rsidR="00A270EF" w:rsidRP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принципът на икономичност изисква ресурсите за осъществяване на дейностите да бъдат осигурени своевременно, в подходящо количество и качество и при най-добра цена; </w:t>
            </w:r>
          </w:p>
          <w:p w14:paraId="0CD8C773" w14:textId="77777777" w:rsidR="00A270EF" w:rsidRP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принципът на ефикасност се отнася до най-доброто съотношение между използваните ресурси и постигнатите резултати; </w:t>
            </w:r>
          </w:p>
          <w:p w14:paraId="73683DEC" w14:textId="5109CBD0" w:rsid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>принципът на ефективност се отнася до осъществяването на набелязаните конкретни цели и постигането на планираните резултати</w:t>
            </w:r>
            <w:r w:rsidR="00DB44B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>по проекта.</w:t>
            </w:r>
          </w:p>
          <w:p w14:paraId="011C7AF4" w14:textId="77777777" w:rsidR="00281916" w:rsidRDefault="00281916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7. </w:t>
            </w:r>
            <w:r w:rsidRPr="00281916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се изпълняват върху недвижим/и имот/и – собственост на оперативната група или член на оперативната група, а когато същите не са собственост на оперативната група или член на оперативната група, към проектите се прилага документ за ползване на имота/ите или споразумение за ползване по чл.37в и чл.37ж от ЗСПЗЗ (за земеделски площи), свързан/и с дейности в обхвата на преки неинвестиционни разходи.</w:t>
            </w:r>
          </w:p>
          <w:p w14:paraId="3CA58BA0" w14:textId="77777777" w:rsidR="00CC05A3" w:rsidRDefault="00281916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="00A270EF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Дейностите,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свързани с разпространение на резултатите от проекта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т. 1, буква „в“ от раздел </w:t>
            </w:r>
            <w:r w:rsidR="004A1CFA" w:rsidRPr="004A1C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10.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4A1CFA" w:rsidRPr="004A1CFA">
              <w:rPr>
                <w:rFonts w:ascii="Times New Roman" w:hAnsi="Times New Roman"/>
                <w:sz w:val="24"/>
                <w:szCs w:val="24"/>
                <w:lang w:val="bg-BG"/>
              </w:rPr>
              <w:t>Допустими дейности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, трябва да съответстват на к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омуникационен план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, който да съдържа най-малко следната информация:</w:t>
            </w:r>
          </w:p>
          <w:p w14:paraId="35EA60AE" w14:textId="77777777"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Цел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дейностите за разпространение на резултатите;</w:t>
            </w:r>
          </w:p>
          <w:p w14:paraId="7B8BB332" w14:textId="77777777"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Целеви групи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39668A03" w14:textId="77777777" w:rsid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Комуникационни канали;</w:t>
            </w:r>
          </w:p>
          <w:p w14:paraId="2DC970E1" w14:textId="77777777"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Информационни и комуникационни средства и методи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23FC2EC6" w14:textId="77777777"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Дейности и необходими ресурси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1C9B1CE7" w14:textId="77777777"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План за действие – времеви график за изпълнение на комуникационния план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05B07B86" w14:textId="77777777" w:rsidR="009C75F5" w:rsidRDefault="000D7762" w:rsidP="00601E35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ж)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Индикатори за изпълнение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поставената цел.</w:t>
            </w:r>
          </w:p>
          <w:p w14:paraId="5E7F8098" w14:textId="77777777" w:rsidR="00A970FF" w:rsidRPr="00E025F9" w:rsidRDefault="00281916" w:rsidP="00AF4E56">
            <w:pPr>
              <w:spacing w:after="12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За да </w:t>
            </w:r>
            <w:r w:rsidR="00AF4E56" w:rsidRPr="00CC05A3">
              <w:rPr>
                <w:rFonts w:ascii="Times New Roman" w:hAnsi="Times New Roman"/>
                <w:sz w:val="24"/>
                <w:szCs w:val="24"/>
              </w:rPr>
              <w:t xml:space="preserve">подлежат на подпомагане кандидатите представят финансов план по образец съгласно Приложение № </w:t>
            </w:r>
            <w:r w:rsidR="00E025F9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0D7762" w:rsidRPr="00CC05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4E56" w:rsidRPr="00CC05A3">
              <w:rPr>
                <w:rFonts w:ascii="Times New Roman" w:hAnsi="Times New Roman"/>
                <w:sz w:val="24"/>
                <w:szCs w:val="24"/>
              </w:rPr>
              <w:t xml:space="preserve">който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съдържа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планирани разходи, свързани с описаните 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 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 проект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за периода на изпълнение. </w:t>
            </w:r>
          </w:p>
          <w:p w14:paraId="5C753AE8" w14:textId="77777777" w:rsidR="00A970FF" w:rsidRPr="00C2275A" w:rsidRDefault="00281916" w:rsidP="00AF4E5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10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AF4E56" w:rsidRPr="00C2275A">
              <w:rPr>
                <w:rFonts w:ascii="Times New Roman" w:hAnsi="Times New Roman"/>
                <w:sz w:val="24"/>
                <w:szCs w:val="24"/>
              </w:rPr>
              <w:t xml:space="preserve">Данните във финансовия план трябва да съответстват на данните, посочени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раздел 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Заявени разходи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заявлението за подпомагане 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в СЕУ.</w:t>
            </w:r>
          </w:p>
          <w:p w14:paraId="1861C182" w14:textId="77777777"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 предоставя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за 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ейности, свързани с преработка и/или маркетинг на риба и рибни продукти.</w:t>
            </w:r>
          </w:p>
          <w:p w14:paraId="794948ED" w14:textId="77777777" w:rsidR="00155308" w:rsidRDefault="0012269E" w:rsidP="00462E8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Финансова помощ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предоставя за проекти, включващи дейности, които отговарят на Европейското и национално законодателство.</w:t>
            </w:r>
          </w:p>
          <w:p w14:paraId="0B7FAEDA" w14:textId="77777777" w:rsidR="0019475A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9475A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>. 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      </w:r>
          </w:p>
          <w:p w14:paraId="3C639353" w14:textId="77777777"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. Финансова помощ се предоставя за дейности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извършени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след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сключване на административният договор.</w:t>
            </w:r>
          </w:p>
          <w:p w14:paraId="53179E7C" w14:textId="77777777"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ED19F3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се предоставя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за 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ейности, които допринасят за внедряване на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 w:rsidR="00761719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решения за преодоляване на проблеми от полза за земеделските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горските 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стопани, участващи в оперативната група.</w:t>
            </w:r>
          </w:p>
          <w:p w14:paraId="4C27D1E3" w14:textId="77777777" w:rsidR="00CD393F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ED19F3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CD393F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Чрез интервенцията няма да се подпомагат фундаментални научни изследвания или индивидуални научноизследователски проекти.</w:t>
            </w:r>
          </w:p>
          <w:p w14:paraId="2EABDF50" w14:textId="77777777" w:rsidR="005804DA" w:rsidRDefault="00281916" w:rsidP="00FA382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17</w:t>
            </w:r>
            <w:r w:rsidR="00466882" w:rsidRPr="004668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>Одобрен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ото заявление за подпомагане 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>се изпълнява в срок до 3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месеца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датата на подписване на административния договор</w:t>
            </w:r>
            <w:r w:rsidR="00FA382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Крайният срок за изпълнение на одобрените заявления за подпомагане е не по-късно от 3</w:t>
            </w:r>
            <w:r w:rsidR="00DD27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0 септември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2029 г. </w:t>
            </w:r>
          </w:p>
          <w:p w14:paraId="12A2BE7B" w14:textId="77777777" w:rsidR="000D7762" w:rsidRDefault="00281916" w:rsidP="00FA382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18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0D7762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Прекратяването на дейностите по проекта е допустимо и преди крайния срок, в случай, че решението за прекратяване е надлежно обосновано от оперативната група и са уведомени Управляващия орган и Разплащателна агенция.</w:t>
            </w:r>
          </w:p>
          <w:p w14:paraId="087233ED" w14:textId="77777777" w:rsidR="00506412" w:rsidRDefault="00506412" w:rsidP="00AA3C9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14:paraId="203ECA44" w14:textId="77777777" w:rsidR="00506412" w:rsidRDefault="00281916" w:rsidP="00AA3C9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19</w:t>
            </w:r>
            <w:r w:rsidR="00506412" w:rsidRP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Не се подпомагат заявления, които не включват одобрени разходи за дейности по т. 1, буква „б“ от Раздел </w:t>
            </w:r>
            <w:r w:rsidR="0050641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 </w:t>
            </w:r>
            <w:r w:rsidR="00506412" w:rsidRPr="00AA3C90">
              <w:rPr>
                <w:rFonts w:ascii="Times New Roman" w:hAnsi="Times New Roman"/>
                <w:sz w:val="24"/>
                <w:szCs w:val="24"/>
                <w:lang w:val="bg-BG"/>
              </w:rPr>
              <w:t>„Допустими дейности“.</w:t>
            </w:r>
          </w:p>
          <w:p w14:paraId="23E24AE7" w14:textId="77777777" w:rsidR="00761719" w:rsidRPr="00AA3C90" w:rsidRDefault="00281916" w:rsidP="00281916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20</w:t>
            </w:r>
            <w:r w:rsidR="00761719" w:rsidRP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</w:t>
            </w:r>
            <w:r w:rsidR="00443AE0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 предоставя в рамките на тази процедура на идентични проекти, подадени от различни оперативни групи. При наличие на идентични проекти, допустимо за участие в процедурата е </w:t>
            </w:r>
            <w:r w:rsidR="00E70C48" w:rsidRPr="00443AE0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>, получило по-голям брой точки по критериите за подбор на проекти.</w:t>
            </w:r>
          </w:p>
        </w:tc>
      </w:tr>
    </w:tbl>
    <w:p w14:paraId="75F3AC1A" w14:textId="77777777" w:rsidR="008E779A" w:rsidRPr="004F39ED" w:rsidRDefault="008E779A" w:rsidP="008E779A">
      <w:pPr>
        <w:rPr>
          <w:rFonts w:ascii="Times New Roman" w:eastAsiaTheme="majorEastAsia" w:hAnsi="Times New Roman"/>
          <w:b/>
          <w:sz w:val="28"/>
          <w:szCs w:val="28"/>
        </w:rPr>
      </w:pPr>
    </w:p>
    <w:p w14:paraId="201E4746" w14:textId="77777777"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212561377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Допустими разходи</w:t>
      </w:r>
      <w:bookmarkEnd w:id="12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58AD9170" w14:textId="77777777" w:rsidTr="00234D97">
        <w:tc>
          <w:tcPr>
            <w:tcW w:w="9209" w:type="dxa"/>
            <w:shd w:val="clear" w:color="auto" w:fill="auto"/>
          </w:tcPr>
          <w:p w14:paraId="44A11C93" w14:textId="77777777" w:rsidR="00845A4C" w:rsidRPr="00845A4C" w:rsidRDefault="009E73A8" w:rsidP="00C25461">
            <w:pPr>
              <w:pStyle w:val="ListParagraph"/>
              <w:spacing w:after="0" w:line="276" w:lineRule="auto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B34DB0">
              <w:rPr>
                <w:rFonts w:ascii="Times New Roman" w:hAnsi="Times New Roman"/>
                <w:b/>
                <w:sz w:val="24"/>
                <w:szCs w:val="24"/>
              </w:rPr>
              <w:t>Разходи за о</w:t>
            </w:r>
            <w:r w:rsidR="00845A4C" w:rsidRPr="001864E7">
              <w:rPr>
                <w:rFonts w:ascii="Times New Roman" w:hAnsi="Times New Roman"/>
                <w:b/>
                <w:sz w:val="24"/>
                <w:szCs w:val="24"/>
              </w:rPr>
              <w:t xml:space="preserve">съществяване на сътрудничеството във връзка с изпълнение на </w:t>
            </w:r>
            <w:r w:rsidR="001864E7">
              <w:rPr>
                <w:rFonts w:ascii="Times New Roman" w:hAnsi="Times New Roman"/>
                <w:b/>
                <w:sz w:val="24"/>
                <w:szCs w:val="24"/>
              </w:rPr>
              <w:t>новаторския</w:t>
            </w:r>
            <w:r w:rsidR="00845A4C" w:rsidRPr="001864E7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  <w:r w:rsidR="00845A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3D20C90" w14:textId="77777777" w:rsidR="00207736" w:rsidRPr="00AA3C90" w:rsidRDefault="009E73A8" w:rsidP="00DD281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61719">
              <w:rPr>
                <w:rFonts w:ascii="Times New Roman" w:hAnsi="Times New Roman"/>
                <w:sz w:val="24"/>
                <w:szCs w:val="24"/>
              </w:rPr>
              <w:t>)</w:t>
            </w:r>
            <w:r w:rsidR="001A70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8CD">
              <w:rPr>
                <w:rFonts w:ascii="Times New Roman" w:hAnsi="Times New Roman"/>
                <w:sz w:val="24"/>
                <w:szCs w:val="24"/>
              </w:rPr>
              <w:t xml:space="preserve">възнаграждения </w:t>
            </w:r>
            <w:r w:rsidR="00D917AF">
              <w:rPr>
                <w:rFonts w:ascii="Times New Roman" w:hAnsi="Times New Roman"/>
                <w:sz w:val="24"/>
                <w:szCs w:val="24"/>
              </w:rPr>
              <w:t xml:space="preserve">и осигурителни вноски </w:t>
            </w:r>
            <w:r w:rsidR="00C738A7">
              <w:rPr>
                <w:rFonts w:ascii="Times New Roman" w:hAnsi="Times New Roman"/>
                <w:sz w:val="24"/>
                <w:szCs w:val="24"/>
              </w:rPr>
              <w:t>за координатор на проекта</w:t>
            </w:r>
            <w:r w:rsidR="003E78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C38F65C" w14:textId="77777777" w:rsidR="00FA626C" w:rsidRPr="00FA626C" w:rsidRDefault="009E73A8" w:rsidP="00AA3C90">
            <w:pPr>
              <w:pStyle w:val="ListParagraph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761719">
              <w:rPr>
                <w:rFonts w:ascii="Times New Roman" w:hAnsi="Times New Roman"/>
                <w:sz w:val="24"/>
                <w:szCs w:val="24"/>
              </w:rPr>
              <w:t>)</w:t>
            </w:r>
            <w:r w:rsidR="0020773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3E78CD">
              <w:rPr>
                <w:rFonts w:ascii="Times New Roman" w:hAnsi="Times New Roman"/>
                <w:sz w:val="24"/>
                <w:szCs w:val="24"/>
              </w:rPr>
              <w:t xml:space="preserve">административни </w:t>
            </w:r>
            <w:r w:rsidR="00C738A7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AB1F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59D">
              <w:rPr>
                <w:rFonts w:ascii="Times New Roman" w:hAnsi="Times New Roman"/>
                <w:sz w:val="24"/>
                <w:szCs w:val="24"/>
              </w:rPr>
              <w:t>в размер на 15 на сто от разходите за възнаграждения</w:t>
            </w:r>
            <w:r w:rsidR="0020773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207736">
              <w:rPr>
                <w:rFonts w:ascii="Times New Roman" w:hAnsi="Times New Roman"/>
                <w:sz w:val="24"/>
                <w:szCs w:val="24"/>
              </w:rPr>
              <w:t>по т. 1</w:t>
            </w:r>
            <w:r w:rsidR="003E78CD">
              <w:rPr>
                <w:rFonts w:ascii="Times New Roman" w:hAnsi="Times New Roman"/>
                <w:sz w:val="24"/>
                <w:szCs w:val="24"/>
              </w:rPr>
              <w:t>, буква „а“</w:t>
            </w:r>
            <w:r w:rsidR="00F27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F17">
              <w:rPr>
                <w:rFonts w:ascii="Times New Roman" w:hAnsi="Times New Roman"/>
                <w:sz w:val="24"/>
                <w:szCs w:val="24"/>
              </w:rPr>
              <w:t>под формата на единна ставка</w:t>
            </w:r>
            <w:r w:rsidR="00FA626C" w:rsidRPr="00FA626C">
              <w:rPr>
                <w:rFonts w:ascii="Times New Roman" w:hAnsi="Times New Roman"/>
                <w:sz w:val="24"/>
                <w:szCs w:val="24"/>
              </w:rPr>
              <w:t xml:space="preserve"> на основание чл. 83, пар. 1, буква „г“ от Регламент (ЕС) 2021/2115.</w:t>
            </w:r>
          </w:p>
          <w:p w14:paraId="104FFF9E" w14:textId="77777777" w:rsidR="00A37748" w:rsidRDefault="00A37748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14:paraId="680DFBDB" w14:textId="77777777" w:rsidR="00CF17CC" w:rsidRPr="00502EDF" w:rsidRDefault="009E73A8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F17CC" w:rsidRPr="00502EDF">
              <w:rPr>
                <w:rFonts w:ascii="Times New Roman" w:hAnsi="Times New Roman"/>
                <w:b/>
                <w:sz w:val="24"/>
                <w:szCs w:val="24"/>
              </w:rPr>
              <w:t>. Преки неинвестиционни разходи за изпълнение на новаторския проект:</w:t>
            </w:r>
          </w:p>
          <w:p w14:paraId="7B83E7E2" w14:textId="77777777" w:rsidR="00CF17CC" w:rsidRPr="00CF17CC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възнаграждения, включително здравни и осигурителни вноски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сметка на работодателя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 за лица, които участват в изпълнението на проекта </w:t>
            </w:r>
            <w:r w:rsidR="008C6F31">
              <w:rPr>
                <w:rFonts w:ascii="Times New Roman" w:hAnsi="Times New Roman"/>
                <w:sz w:val="24"/>
                <w:szCs w:val="24"/>
              </w:rPr>
              <w:t xml:space="preserve">(екип)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и са наети на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lastRenderedPageBreak/>
              <w:t>трудово</w:t>
            </w:r>
            <w:r w:rsidR="007D2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служебно правоотношение </w:t>
            </w:r>
            <w:r w:rsidR="007D25E7">
              <w:rPr>
                <w:rFonts w:ascii="Times New Roman" w:hAnsi="Times New Roman"/>
                <w:sz w:val="24"/>
                <w:szCs w:val="24"/>
              </w:rPr>
              <w:t xml:space="preserve">или с граждански договор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от член на оперативната група; </w:t>
            </w:r>
          </w:p>
          <w:p w14:paraId="0E63B574" w14:textId="77777777" w:rsidR="00CF17CC" w:rsidRPr="00F605B9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>б) разходи за командировки, съгласно Наредбата за командировките в страната, приета с Постановление № 72 на Министерския съвет от 1986 г. (ДВ, бр. 11 от 1987 г.) за лица, които участват в изпълнението на проекта и са наети на трудово или на служебно правоотношение от член на оперативната група във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връзка с изпълнение на проекта</w:t>
            </w:r>
            <w:r w:rsidR="003B159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както и за членовете на оперативната група, когато вземат участие в информационни събития или </w:t>
            </w:r>
            <w:r w:rsidR="00C25F94">
              <w:rPr>
                <w:rFonts w:ascii="Times New Roman" w:hAnsi="Times New Roman"/>
                <w:sz w:val="24"/>
                <w:szCs w:val="24"/>
              </w:rPr>
              <w:t>други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 дейности </w:t>
            </w:r>
            <w:r w:rsidR="00C25F94">
              <w:rPr>
                <w:rFonts w:ascii="Times New Roman" w:hAnsi="Times New Roman"/>
                <w:sz w:val="24"/>
                <w:szCs w:val="24"/>
              </w:rPr>
              <w:t>в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 изпълнение на новаторския проект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34C96E" w14:textId="77777777" w:rsidR="00CF17CC" w:rsidRPr="00CF17CC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 xml:space="preserve">в) разходи за предоставени от членовете на </w:t>
            </w:r>
            <w:r w:rsidR="008C6F31">
              <w:rPr>
                <w:rFonts w:ascii="Times New Roman" w:hAnsi="Times New Roman"/>
                <w:sz w:val="24"/>
                <w:szCs w:val="24"/>
              </w:rPr>
              <w:t>о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перативната група за нуждите по проекта – земеделска техника, машини, сгради, оборудване и земеделски площи;</w:t>
            </w:r>
          </w:p>
          <w:p w14:paraId="5E2053D5" w14:textId="77777777" w:rsidR="00CF17CC" w:rsidRPr="00542EFC" w:rsidRDefault="00CF17CC" w:rsidP="00542EF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>г) разходи за закупуване на препарати за растителна защита, торове, семена, посеве</w:t>
            </w:r>
            <w:r w:rsidR="00726E59">
              <w:rPr>
                <w:rFonts w:ascii="Times New Roman" w:hAnsi="Times New Roman"/>
                <w:sz w:val="24"/>
                <w:szCs w:val="24"/>
              </w:rPr>
              <w:t>н и посадъчен материал, фуражи</w:t>
            </w:r>
            <w:r w:rsidR="00372B80">
              <w:rPr>
                <w:rFonts w:ascii="Times New Roman" w:hAnsi="Times New Roman"/>
                <w:sz w:val="24"/>
                <w:szCs w:val="24"/>
              </w:rPr>
              <w:t xml:space="preserve"> и фуражни добавки</w:t>
            </w:r>
            <w:r w:rsidR="00726E5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="00393F0C">
              <w:rPr>
                <w:rFonts w:ascii="Times New Roman" w:hAnsi="Times New Roman"/>
                <w:sz w:val="24"/>
                <w:szCs w:val="24"/>
              </w:rPr>
              <w:t xml:space="preserve">ветеринарни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медикаменти</w:t>
            </w:r>
            <w:r w:rsidR="00CC7D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2B80">
              <w:rPr>
                <w:rFonts w:ascii="Times New Roman" w:hAnsi="Times New Roman"/>
                <w:sz w:val="24"/>
                <w:szCs w:val="24"/>
              </w:rPr>
              <w:t>билкови екстракти  и хранителни добавки</w:t>
            </w:r>
            <w:r w:rsidR="00393F0C">
              <w:rPr>
                <w:rFonts w:ascii="Times New Roman" w:hAnsi="Times New Roman"/>
                <w:sz w:val="24"/>
                <w:szCs w:val="24"/>
              </w:rPr>
              <w:t xml:space="preserve"> за селскостопански животни</w:t>
            </w:r>
            <w:r w:rsidR="00372B80">
              <w:rPr>
                <w:rFonts w:ascii="Times New Roman" w:hAnsi="Times New Roman"/>
                <w:sz w:val="24"/>
                <w:szCs w:val="24"/>
              </w:rPr>
              <w:t>,</w:t>
            </w:r>
            <w:r w:rsidR="00726E59">
              <w:rPr>
                <w:rFonts w:ascii="Times New Roman" w:hAnsi="Times New Roman"/>
                <w:sz w:val="24"/>
                <w:szCs w:val="24"/>
              </w:rPr>
              <w:t xml:space="preserve"> лабораторно оборудване</w:t>
            </w:r>
            <w:r w:rsidR="00393F0C">
              <w:rPr>
                <w:rFonts w:ascii="Times New Roman" w:hAnsi="Times New Roman"/>
                <w:sz w:val="24"/>
                <w:szCs w:val="24"/>
              </w:rPr>
              <w:t xml:space="preserve"> и лабораторни реактиви и консумативи</w:t>
            </w:r>
            <w:r w:rsidR="00542EFC">
              <w:rPr>
                <w:rFonts w:ascii="Times New Roman" w:hAnsi="Times New Roman"/>
                <w:sz w:val="24"/>
                <w:szCs w:val="24"/>
              </w:rPr>
              <w:t xml:space="preserve">, семенен материал </w:t>
            </w:r>
            <w:r w:rsidR="00542EFC" w:rsidRPr="00542EFC">
              <w:rPr>
                <w:rFonts w:ascii="Times New Roman" w:hAnsi="Times New Roman"/>
                <w:sz w:val="24"/>
                <w:szCs w:val="24"/>
              </w:rPr>
              <w:t>и консумативи за изкуствено осеменяване на</w:t>
            </w:r>
            <w:r w:rsidR="00542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EFC" w:rsidRPr="00542EFC">
              <w:rPr>
                <w:rFonts w:ascii="Times New Roman" w:hAnsi="Times New Roman"/>
                <w:sz w:val="24"/>
                <w:szCs w:val="24"/>
              </w:rPr>
              <w:t>селскостопански животни</w:t>
            </w:r>
            <w:r w:rsidRPr="00542E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93CE82D" w14:textId="77777777" w:rsidR="000A335B" w:rsidRDefault="00CF17CC" w:rsidP="0071438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>д) разходи за услуги - проучвания, анализи</w:t>
            </w:r>
            <w:r w:rsidR="000A3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35B" w:rsidRPr="000A335B">
              <w:rPr>
                <w:rFonts w:ascii="Times New Roman" w:hAnsi="Times New Roman"/>
                <w:sz w:val="24"/>
                <w:szCs w:val="24"/>
              </w:rPr>
              <w:t>(вкл. свързани със софтуер),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 изследвания, проучвания за осъществимост, тестове, както и др</w:t>
            </w:r>
            <w:r w:rsidR="00714381">
              <w:rPr>
                <w:rFonts w:ascii="Times New Roman" w:hAnsi="Times New Roman"/>
                <w:sz w:val="24"/>
                <w:szCs w:val="24"/>
              </w:rPr>
              <w:t>уги дейности свързани с проекта.</w:t>
            </w:r>
          </w:p>
          <w:p w14:paraId="50A3B900" w14:textId="77777777" w:rsidR="00714381" w:rsidRPr="00714381" w:rsidRDefault="00714381" w:rsidP="0071438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FD06BF" w14:textId="77777777" w:rsidR="00C738A7" w:rsidRPr="00C25F94" w:rsidRDefault="009E73A8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F168A" w:rsidRPr="00C25F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738A7" w:rsidRPr="00C25F94">
              <w:rPr>
                <w:rFonts w:ascii="Times New Roman" w:hAnsi="Times New Roman"/>
                <w:b/>
                <w:sz w:val="24"/>
                <w:szCs w:val="24"/>
              </w:rPr>
              <w:t xml:space="preserve"> Преки разходи</w:t>
            </w:r>
            <w:r w:rsidR="00CF168A" w:rsidRPr="00C25F9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738A7" w:rsidRPr="00C25F94">
              <w:rPr>
                <w:b/>
              </w:rPr>
              <w:t xml:space="preserve"> </w:t>
            </w:r>
            <w:r w:rsidR="00C738A7" w:rsidRPr="00C25F94">
              <w:rPr>
                <w:rFonts w:ascii="Times New Roman" w:hAnsi="Times New Roman"/>
                <w:b/>
                <w:sz w:val="24"/>
                <w:szCs w:val="24"/>
              </w:rPr>
              <w:t>необходими за изпълнение на новаторския проект, приложими за следните активи:</w:t>
            </w:r>
          </w:p>
          <w:p w14:paraId="0CF8ADBF" w14:textId="77777777"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C25F94">
              <w:rPr>
                <w:rFonts w:ascii="Times New Roman" w:hAnsi="Times New Roman"/>
                <w:sz w:val="24"/>
                <w:szCs w:val="24"/>
              </w:rPr>
              <w:t xml:space="preserve">изработка на 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>софтуер и право на ползване на софтуер;</w:t>
            </w:r>
          </w:p>
          <w:p w14:paraId="3B2E427E" w14:textId="77777777"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>б) компютри и периферни устройства за тях;</w:t>
            </w:r>
          </w:p>
          <w:p w14:paraId="78B9A7E6" w14:textId="77777777"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в) мобилни устройства – таблети и дронове; </w:t>
            </w:r>
          </w:p>
          <w:p w14:paraId="056B1161" w14:textId="77777777"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други </w:t>
            </w:r>
            <w:r w:rsidR="00C25F94" w:rsidRPr="00C25F94">
              <w:rPr>
                <w:rFonts w:ascii="Times New Roman" w:hAnsi="Times New Roman"/>
                <w:sz w:val="24"/>
                <w:szCs w:val="24"/>
              </w:rPr>
              <w:t>цифрови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 xml:space="preserve"> устройства;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7865C39" w14:textId="77777777" w:rsidR="00C738A7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д) специфично оборудване и/или апаратура, която е обоснована като ключова за </w:t>
            </w:r>
            <w:r>
              <w:rPr>
                <w:rFonts w:ascii="Times New Roman" w:hAnsi="Times New Roman"/>
                <w:sz w:val="24"/>
                <w:szCs w:val="24"/>
              </w:rPr>
              <w:t>постигане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 xml:space="preserve"> на целите по проекта.</w:t>
            </w:r>
          </w:p>
          <w:p w14:paraId="788CFA6E" w14:textId="77777777" w:rsidR="00C25F94" w:rsidRDefault="00C25F94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703463" w14:textId="77777777" w:rsidR="00791247" w:rsidRPr="00C25F94" w:rsidRDefault="009E73A8" w:rsidP="00C25461">
            <w:pPr>
              <w:pStyle w:val="ListParagraph"/>
              <w:spacing w:after="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F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D632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4D632A" w:rsidRPr="004D632A">
              <w:rPr>
                <w:rFonts w:ascii="Times New Roman" w:hAnsi="Times New Roman"/>
                <w:b/>
                <w:sz w:val="24"/>
                <w:szCs w:val="24"/>
              </w:rPr>
              <w:t xml:space="preserve">азходи за разпространение на </w:t>
            </w:r>
            <w:r w:rsidR="00D515BB">
              <w:rPr>
                <w:rFonts w:ascii="Times New Roman" w:hAnsi="Times New Roman"/>
                <w:b/>
                <w:sz w:val="24"/>
                <w:szCs w:val="24"/>
              </w:rPr>
              <w:t xml:space="preserve">целите и </w:t>
            </w:r>
            <w:r w:rsidR="004D632A" w:rsidRPr="004D632A">
              <w:rPr>
                <w:rFonts w:ascii="Times New Roman" w:hAnsi="Times New Roman"/>
                <w:b/>
                <w:sz w:val="24"/>
                <w:szCs w:val="24"/>
              </w:rPr>
              <w:t>резултатите от проекта:</w:t>
            </w:r>
          </w:p>
          <w:p w14:paraId="12969F7F" w14:textId="77777777" w:rsidR="003E78CD" w:rsidRPr="009249C7" w:rsidRDefault="003E78CD" w:rsidP="00C254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а) р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>азходи за създаване и поддържане на електронна страница;</w:t>
            </w:r>
          </w:p>
          <w:p w14:paraId="37718355" w14:textId="77777777" w:rsidR="003E78CD" w:rsidRDefault="003E78CD" w:rsidP="003E7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б) р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 xml:space="preserve">азходи за изработване на </w:t>
            </w:r>
            <w:r w:rsidRPr="00950B39">
              <w:rPr>
                <w:rFonts w:ascii="Times New Roman" w:hAnsi="Times New Roman"/>
                <w:sz w:val="24"/>
                <w:szCs w:val="24"/>
              </w:rPr>
              <w:t>информационни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рекламни</w:t>
            </w:r>
            <w:r w:rsidRPr="00950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>материали;</w:t>
            </w:r>
          </w:p>
          <w:p w14:paraId="18C83690" w14:textId="77777777" w:rsidR="00C20F06" w:rsidRPr="00C20F06" w:rsidRDefault="00C20F06" w:rsidP="003E78CD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в) разходи за провеждане на информационни семинари и конференции;</w:t>
            </w:r>
          </w:p>
          <w:p w14:paraId="53E1EE41" w14:textId="77777777" w:rsidR="003E78CD" w:rsidRPr="009249C7" w:rsidRDefault="00C20F06" w:rsidP="003E7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г</w:t>
            </w:r>
            <w:r w:rsidR="003E78CD">
              <w:rPr>
                <w:rFonts w:ascii="Times New Roman" w:hAnsi="Times New Roman"/>
                <w:sz w:val="24"/>
                <w:szCs w:val="24"/>
                <w:lang w:val="bg-BG"/>
              </w:rPr>
              <w:t>) р</w:t>
            </w:r>
            <w:r w:rsidR="003E78CD" w:rsidRPr="009249C7">
              <w:rPr>
                <w:rFonts w:ascii="Times New Roman" w:hAnsi="Times New Roman"/>
                <w:sz w:val="24"/>
                <w:szCs w:val="24"/>
              </w:rPr>
              <w:t>азходи за публикации или излъчвания в национални или регионални медии;</w:t>
            </w:r>
          </w:p>
          <w:p w14:paraId="1D7E1971" w14:textId="77777777" w:rsidR="00E54BD2" w:rsidRDefault="00C20F06" w:rsidP="00AA3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="003E78CD">
              <w:rPr>
                <w:rFonts w:ascii="Times New Roman" w:hAnsi="Times New Roman"/>
                <w:sz w:val="24"/>
                <w:szCs w:val="24"/>
                <w:lang w:val="bg-BG"/>
              </w:rPr>
              <w:t>) р</w:t>
            </w:r>
            <w:r w:rsidR="003E78CD" w:rsidRPr="009249C7">
              <w:rPr>
                <w:rFonts w:ascii="Times New Roman" w:hAnsi="Times New Roman"/>
                <w:sz w:val="24"/>
                <w:szCs w:val="24"/>
              </w:rPr>
              <w:t>азходи за излъчвания в социални медии.</w:t>
            </w:r>
          </w:p>
          <w:p w14:paraId="09A2D820" w14:textId="77777777" w:rsidR="003E78CD" w:rsidRDefault="003E78CD" w:rsidP="00AA3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49EF75" w14:textId="77777777" w:rsidR="003E78CD" w:rsidRDefault="003E78CD" w:rsidP="00AA3C9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14:paraId="7A743F4E" w14:textId="77777777" w:rsidR="003E78CD" w:rsidRPr="00AA3C90" w:rsidRDefault="003E78CD" w:rsidP="00AA3C9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Допустими са само обосновани разходи във връзка с изпълнение на дейностите на оперативната група, </w:t>
            </w:r>
            <w:r w:rsidRPr="001033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свързани с постигане на очакваните резултати, включени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подпомагане.</w:t>
            </w:r>
          </w:p>
        </w:tc>
      </w:tr>
    </w:tbl>
    <w:p w14:paraId="15B16A81" w14:textId="77777777" w:rsidR="00791247" w:rsidRDefault="0079124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212561378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 Условия за допустимост на разходите</w:t>
      </w:r>
      <w:bookmarkEnd w:id="13"/>
    </w:p>
    <w:tbl>
      <w:tblPr>
        <w:tblW w:w="9221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1"/>
      </w:tblGrid>
      <w:tr w:rsidR="00791247" w14:paraId="618231F1" w14:textId="77777777" w:rsidTr="00791247">
        <w:trPr>
          <w:trHeight w:val="456"/>
        </w:trPr>
        <w:tc>
          <w:tcPr>
            <w:tcW w:w="9221" w:type="dxa"/>
          </w:tcPr>
          <w:p w14:paraId="524F9128" w14:textId="77777777" w:rsidR="00DD0871" w:rsidRPr="00E02065" w:rsidRDefault="00DD0871" w:rsidP="000E53A6">
            <w:pPr>
              <w:pStyle w:val="ListParagraph"/>
              <w:spacing w:before="240" w:after="240"/>
              <w:ind w:left="-21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Финансовата помощ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 </w:t>
            </w:r>
            <w:r w:rsidR="00FC5207">
              <w:rPr>
                <w:rFonts w:ascii="Times New Roman" w:hAnsi="Times New Roman"/>
                <w:sz w:val="24"/>
                <w:szCs w:val="24"/>
              </w:rPr>
              <w:t>предоставя под формата на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 възстановяване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действително направ</w:t>
            </w:r>
            <w:r>
              <w:rPr>
                <w:rFonts w:ascii="Times New Roman" w:hAnsi="Times New Roman"/>
                <w:sz w:val="24"/>
                <w:szCs w:val="24"/>
              </w:rPr>
              <w:t>ени и платени допустими разходи,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 финансиране на амортизационни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отчисления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прилагане на стандартна таблица на разходите за единица продукт и финансиране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единна ставка, определено чрез прилагане на процент към една или няколко определени категории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разходи. </w:t>
            </w:r>
          </w:p>
          <w:p w14:paraId="51809182" w14:textId="77777777" w:rsidR="0051006A" w:rsidRPr="0051006A" w:rsidRDefault="00C65656" w:rsidP="000E53A6">
            <w:pPr>
              <w:pStyle w:val="ListParagraph"/>
              <w:spacing w:before="240" w:after="24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. Разходите са допустими, ако </w:t>
            </w:r>
            <w:r w:rsidR="00F70018">
              <w:rPr>
                <w:rFonts w:ascii="Times New Roman" w:hAnsi="Times New Roman"/>
                <w:sz w:val="24"/>
                <w:szCs w:val="24"/>
              </w:rPr>
              <w:t>са предвидени във финансовия план</w:t>
            </w:r>
            <w:r w:rsidR="008C6F31">
              <w:rPr>
                <w:rFonts w:ascii="Times New Roman" w:hAnsi="Times New Roman"/>
                <w:sz w:val="24"/>
                <w:szCs w:val="24"/>
              </w:rPr>
              <w:t xml:space="preserve"> и заявлението за подпомагане в СЕУ</w:t>
            </w:r>
            <w:r w:rsidR="00F70018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дейностите </w:t>
            </w:r>
            <w:r w:rsidR="00F70018">
              <w:rPr>
                <w:rFonts w:ascii="Times New Roman" w:hAnsi="Times New Roman"/>
                <w:sz w:val="24"/>
                <w:szCs w:val="24"/>
              </w:rPr>
              <w:t xml:space="preserve">свързани с тях 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са извършени след подписване на договора за предоставяне на БФП и в срока за изпълнение на </w:t>
            </w:r>
            <w:r w:rsidR="00A75156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5B0A3B" w14:textId="77777777" w:rsidR="00DD0871" w:rsidRDefault="00C65656" w:rsidP="000E53A6">
            <w:pPr>
              <w:pStyle w:val="ListParagraph"/>
              <w:spacing w:before="240" w:after="24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>. Разходите следва да са планирани и изпълнени в съответствие с принципите за добро финансово управление съгласно Регламент (ЕС, Евратом) 2024/2509 на Европейския парламент и на Съвета от 23 септември 2024 година за финансовите правила, приложими за общия бюджет на Съюза.</w:t>
            </w:r>
          </w:p>
          <w:p w14:paraId="5BA469C0" w14:textId="77777777" w:rsidR="00C536C2" w:rsidRDefault="00C65656" w:rsidP="000E53A6">
            <w:pPr>
              <w:pStyle w:val="ListParagraph"/>
              <w:spacing w:before="240" w:after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536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36C2" w:rsidRPr="00C536C2">
              <w:rPr>
                <w:rFonts w:ascii="Times New Roman" w:hAnsi="Times New Roman"/>
                <w:sz w:val="24"/>
                <w:szCs w:val="24"/>
              </w:rPr>
              <w:t xml:space="preserve">Разходите са допустими, ако са направени от </w:t>
            </w:r>
            <w:r w:rsidR="00C536C2">
              <w:rPr>
                <w:rFonts w:ascii="Times New Roman" w:hAnsi="Times New Roman"/>
                <w:sz w:val="24"/>
                <w:szCs w:val="24"/>
              </w:rPr>
              <w:t>оперативната група или от член на оперативната група</w:t>
            </w:r>
            <w:r w:rsidR="00EC5B79">
              <w:rPr>
                <w:rFonts w:ascii="Times New Roman" w:hAnsi="Times New Roman"/>
                <w:sz w:val="24"/>
                <w:szCs w:val="24"/>
              </w:rPr>
              <w:t xml:space="preserve"> и са извършени в срока за изпълнение съгласно административния договор</w:t>
            </w:r>
            <w:r w:rsidR="00C536C2" w:rsidRPr="00C536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79CF4E" w14:textId="77777777" w:rsidR="00791247" w:rsidRPr="008F2878" w:rsidRDefault="0051006A" w:rsidP="000E53A6">
            <w:pPr>
              <w:pStyle w:val="ListParagraph"/>
              <w:spacing w:before="240" w:after="24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D0871">
              <w:rPr>
                <w:rFonts w:ascii="Times New Roman" w:hAnsi="Times New Roman"/>
                <w:sz w:val="24"/>
                <w:szCs w:val="24"/>
              </w:rPr>
              <w:t>.</w:t>
            </w:r>
            <w:r w:rsidR="00791247" w:rsidRPr="00A96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25B" w:rsidRPr="00A96393">
              <w:rPr>
                <w:rFonts w:ascii="Times New Roman" w:hAnsi="Times New Roman"/>
                <w:sz w:val="24"/>
                <w:szCs w:val="24"/>
              </w:rPr>
              <w:t xml:space="preserve">Разходите за възнаграждения </w:t>
            </w:r>
            <w:r w:rsidR="00A96393" w:rsidRPr="00A96393">
              <w:rPr>
                <w:rFonts w:ascii="Times New Roman" w:hAnsi="Times New Roman"/>
                <w:sz w:val="24"/>
                <w:szCs w:val="24"/>
              </w:rPr>
              <w:t xml:space="preserve">на координатора </w:t>
            </w:r>
            <w:r w:rsidR="00B81749" w:rsidRPr="006113E1">
              <w:rPr>
                <w:rFonts w:ascii="Times New Roman" w:hAnsi="Times New Roman"/>
                <w:sz w:val="24"/>
                <w:szCs w:val="24"/>
              </w:rPr>
              <w:t>по т. 1</w:t>
            </w:r>
            <w:r w:rsidR="00EC5B79">
              <w:rPr>
                <w:rFonts w:ascii="Times New Roman" w:hAnsi="Times New Roman"/>
                <w:sz w:val="24"/>
                <w:szCs w:val="24"/>
              </w:rPr>
              <w:t>, буква „а“</w:t>
            </w:r>
            <w:r w:rsidR="00B81749" w:rsidRPr="006113E1">
              <w:rPr>
                <w:rFonts w:ascii="Times New Roman" w:hAnsi="Times New Roman"/>
                <w:sz w:val="24"/>
                <w:szCs w:val="24"/>
              </w:rPr>
              <w:t xml:space="preserve"> от раздел 1</w:t>
            </w:r>
            <w:r w:rsidR="008F76DC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2759D" w:rsidRPr="00714381">
              <w:rPr>
                <w:rFonts w:ascii="Times New Roman" w:hAnsi="Times New Roman"/>
                <w:sz w:val="24"/>
                <w:szCs w:val="24"/>
              </w:rPr>
              <w:t>Допустими разходи“</w:t>
            </w:r>
            <w:r w:rsidR="00B81749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не могат да надвишават </w:t>
            </w:r>
            <w:r w:rsidR="00D213D6" w:rsidRPr="00714381">
              <w:rPr>
                <w:rFonts w:ascii="Times New Roman" w:hAnsi="Times New Roman"/>
                <w:sz w:val="24"/>
                <w:szCs w:val="24"/>
              </w:rPr>
              <w:t xml:space="preserve">размерът на три минимални работни заплати 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>към които се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7C70">
              <w:rPr>
                <w:rFonts w:ascii="Times New Roman" w:hAnsi="Times New Roman"/>
                <w:sz w:val="24"/>
                <w:szCs w:val="24"/>
              </w:rPr>
              <w:t>добавят</w:t>
            </w:r>
            <w:r w:rsidR="00767C70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18229F" w:rsidRPr="00714381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>те за осигуровки за сметка на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 работодателя, </w:t>
            </w:r>
            <w:r w:rsidR="004247AE" w:rsidRPr="00714381">
              <w:rPr>
                <w:rFonts w:ascii="Times New Roman" w:hAnsi="Times New Roman"/>
                <w:sz w:val="24"/>
                <w:szCs w:val="24"/>
              </w:rPr>
              <w:t>при условие</w:t>
            </w:r>
            <w:r w:rsidR="00F2759D" w:rsidRPr="00714381">
              <w:rPr>
                <w:rFonts w:ascii="Times New Roman" w:hAnsi="Times New Roman"/>
                <w:sz w:val="24"/>
                <w:szCs w:val="24"/>
              </w:rPr>
              <w:t>,</w:t>
            </w:r>
            <w:r w:rsidR="004247AE" w:rsidRPr="00714381">
              <w:rPr>
                <w:rFonts w:ascii="Times New Roman" w:hAnsi="Times New Roman"/>
                <w:sz w:val="24"/>
                <w:szCs w:val="24"/>
              </w:rPr>
              <w:t xml:space="preserve"> че лицето е 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>наето на 8 часов работен ден на трудов договор.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FA7D95" w:rsidRPr="00714381">
              <w:rPr>
                <w:rFonts w:ascii="Times New Roman" w:hAnsi="Times New Roman"/>
                <w:sz w:val="24"/>
                <w:szCs w:val="24"/>
              </w:rPr>
              <w:t>Размерът на допустимото за подпомагане възнаграждение на координатор, нает за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 xml:space="preserve"> по-малко от 8 часа, </w:t>
            </w:r>
            <w:r w:rsidR="00EC5B79">
              <w:rPr>
                <w:rFonts w:ascii="Times New Roman" w:hAnsi="Times New Roman"/>
                <w:sz w:val="24"/>
                <w:szCs w:val="24"/>
              </w:rPr>
              <w:t>се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5B79" w:rsidRPr="00FA7D95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EC5B79">
              <w:rPr>
                <w:rFonts w:ascii="Times New Roman" w:hAnsi="Times New Roman"/>
                <w:sz w:val="24"/>
                <w:szCs w:val="24"/>
              </w:rPr>
              <w:t>я</w:t>
            </w:r>
            <w:r w:rsidR="00EC5B79" w:rsidRPr="00FA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>пропорционално на това за 8 часа.</w:t>
            </w:r>
            <w:r w:rsidR="00EC5B79">
              <w:rPr>
                <w:rFonts w:ascii="Times New Roman" w:hAnsi="Times New Roman"/>
                <w:sz w:val="24"/>
                <w:szCs w:val="24"/>
              </w:rPr>
              <w:t xml:space="preserve"> Координаторът следва да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>притежава най-малко средно образование</w:t>
            </w:r>
            <w:r w:rsidR="009311C7">
              <w:rPr>
                <w:rFonts w:ascii="Times New Roman" w:hAnsi="Times New Roman"/>
                <w:sz w:val="24"/>
                <w:szCs w:val="24"/>
              </w:rPr>
              <w:t>,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9311C7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опит в </w:t>
            </w:r>
            <w:r w:rsidR="00613EFF">
              <w:rPr>
                <w:rFonts w:ascii="Times New Roman" w:hAnsi="Times New Roman"/>
                <w:sz w:val="24"/>
                <w:szCs w:val="24"/>
              </w:rPr>
              <w:t>изпълнението или управлението</w:t>
            </w:r>
            <w:r w:rsidR="009311C7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на </w:t>
            </w:r>
            <w:r w:rsidR="009311C7">
              <w:rPr>
                <w:rFonts w:ascii="Times New Roman" w:hAnsi="Times New Roman"/>
                <w:sz w:val="24"/>
                <w:szCs w:val="24"/>
              </w:rPr>
              <w:t xml:space="preserve">най-малко 1 </w:t>
            </w:r>
            <w:r w:rsidR="009311C7">
              <w:rPr>
                <w:rFonts w:ascii="Times New Roman" w:hAnsi="Times New Roman"/>
                <w:sz w:val="24"/>
                <w:szCs w:val="24"/>
                <w:lang w:val="en-GB"/>
              </w:rPr>
              <w:t>проект</w:t>
            </w:r>
            <w:r w:rsidR="00613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E90">
              <w:rPr>
                <w:rFonts w:ascii="Times New Roman" w:hAnsi="Times New Roman"/>
                <w:sz w:val="24"/>
                <w:szCs w:val="24"/>
              </w:rPr>
              <w:t>финансиран с</w:t>
            </w:r>
            <w:r w:rsidR="00FA308D">
              <w:rPr>
                <w:rFonts w:ascii="Times New Roman" w:hAnsi="Times New Roman"/>
                <w:sz w:val="24"/>
                <w:szCs w:val="24"/>
              </w:rPr>
              <w:t xml:space="preserve"> европейски или </w:t>
            </w:r>
            <w:r w:rsidR="00603B35">
              <w:rPr>
                <w:rFonts w:ascii="Times New Roman" w:hAnsi="Times New Roman"/>
                <w:sz w:val="24"/>
                <w:szCs w:val="24"/>
              </w:rPr>
              <w:t>други публични</w:t>
            </w:r>
            <w:r w:rsidR="00FA308D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  <w:r w:rsidR="00576E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и да </w:t>
            </w:r>
            <w:r w:rsidR="00EC5B79">
              <w:rPr>
                <w:rFonts w:ascii="Times New Roman" w:hAnsi="Times New Roman"/>
                <w:sz w:val="24"/>
                <w:szCs w:val="24"/>
              </w:rPr>
              <w:t>е ангажиран по одобрения проект на не по-малко от 4-часов работен ден</w:t>
            </w:r>
            <w:r w:rsidR="0016040C">
              <w:rPr>
                <w:rFonts w:ascii="Times New Roman" w:hAnsi="Times New Roman"/>
                <w:sz w:val="24"/>
                <w:szCs w:val="24"/>
              </w:rPr>
              <w:t xml:space="preserve"> на трудов договор към оперативната група</w:t>
            </w:r>
            <w:r w:rsidR="00EC5B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12B408" w14:textId="77777777" w:rsidR="00791247" w:rsidRDefault="0051006A" w:rsidP="000E53A6">
            <w:pPr>
              <w:pStyle w:val="ListParagraph"/>
              <w:spacing w:before="240" w:after="24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1247" w:rsidRPr="00A963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44EF1">
              <w:rPr>
                <w:rFonts w:ascii="Times New Roman" w:hAnsi="Times New Roman"/>
                <w:sz w:val="24"/>
                <w:szCs w:val="24"/>
              </w:rPr>
              <w:t>Административни</w:t>
            </w:r>
            <w:r w:rsidR="00F2759D">
              <w:rPr>
                <w:rFonts w:ascii="Times New Roman" w:hAnsi="Times New Roman"/>
                <w:sz w:val="24"/>
                <w:szCs w:val="24"/>
              </w:rPr>
              <w:t>те</w:t>
            </w:r>
            <w:r w:rsidR="00444EF1">
              <w:rPr>
                <w:rFonts w:ascii="Times New Roman" w:hAnsi="Times New Roman"/>
                <w:sz w:val="24"/>
                <w:szCs w:val="24"/>
              </w:rPr>
              <w:t xml:space="preserve"> разходи</w:t>
            </w:r>
            <w:r w:rsidR="00444EF1" w:rsidRPr="00A96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>по т.</w:t>
            </w:r>
            <w:r w:rsidR="00F2759D" w:rsidRPr="006113E1">
              <w:t xml:space="preserve">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1</w:t>
            </w:r>
            <w:r w:rsidR="00EC5B79">
              <w:rPr>
                <w:rFonts w:ascii="Times New Roman" w:hAnsi="Times New Roman"/>
                <w:sz w:val="24"/>
                <w:szCs w:val="24"/>
              </w:rPr>
              <w:t>, буква „</w:t>
            </w:r>
            <w:r w:rsidR="00714381">
              <w:rPr>
                <w:rFonts w:ascii="Times New Roman" w:hAnsi="Times New Roman"/>
                <w:sz w:val="24"/>
                <w:szCs w:val="24"/>
              </w:rPr>
              <w:t>б</w:t>
            </w:r>
            <w:r w:rsidR="00EC5B79">
              <w:rPr>
                <w:rFonts w:ascii="Times New Roman" w:hAnsi="Times New Roman"/>
                <w:sz w:val="24"/>
                <w:szCs w:val="24"/>
              </w:rPr>
              <w:t>“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от раздел 1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</w:t>
            </w:r>
            <w:r w:rsidR="00A61A66" w:rsidRPr="00611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69E9" w:rsidRPr="006113E1">
              <w:rPr>
                <w:rFonts w:ascii="Times New Roman" w:hAnsi="Times New Roman"/>
                <w:sz w:val="24"/>
                <w:szCs w:val="24"/>
              </w:rPr>
              <w:t>в размер на 15</w:t>
            </w:r>
            <w:r w:rsidR="00C069E9" w:rsidRPr="00C069E9">
              <w:rPr>
                <w:rFonts w:ascii="Times New Roman" w:hAnsi="Times New Roman"/>
                <w:sz w:val="24"/>
                <w:szCs w:val="24"/>
              </w:rPr>
              <w:t xml:space="preserve"> на сто от разходите за възнаграждения </w:t>
            </w:r>
            <w:r w:rsidR="007F2572">
              <w:rPr>
                <w:rFonts w:ascii="Times New Roman" w:hAnsi="Times New Roman"/>
                <w:sz w:val="24"/>
                <w:szCs w:val="24"/>
              </w:rPr>
              <w:t>за координато</w:t>
            </w:r>
            <w:r w:rsidR="000D0A34">
              <w:rPr>
                <w:rFonts w:ascii="Times New Roman" w:hAnsi="Times New Roman"/>
                <w:sz w:val="24"/>
                <w:szCs w:val="24"/>
              </w:rPr>
              <w:t>р</w:t>
            </w:r>
            <w:r w:rsidR="007F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EF1">
              <w:rPr>
                <w:rFonts w:ascii="Times New Roman" w:hAnsi="Times New Roman"/>
                <w:sz w:val="24"/>
                <w:szCs w:val="24"/>
              </w:rPr>
              <w:t xml:space="preserve">под формата на единна ставка </w:t>
            </w:r>
            <w:r w:rsidR="00F2759D">
              <w:rPr>
                <w:rFonts w:ascii="Times New Roman" w:hAnsi="Times New Roman"/>
                <w:sz w:val="24"/>
                <w:szCs w:val="24"/>
              </w:rPr>
              <w:t xml:space="preserve">са допустими </w:t>
            </w:r>
            <w:r w:rsidR="007F2572">
              <w:rPr>
                <w:rFonts w:ascii="Times New Roman" w:hAnsi="Times New Roman"/>
                <w:sz w:val="24"/>
                <w:szCs w:val="24"/>
              </w:rPr>
              <w:t>за периода на</w:t>
            </w:r>
            <w:r w:rsidR="00F61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656">
              <w:rPr>
                <w:rFonts w:ascii="Times New Roman" w:hAnsi="Times New Roman"/>
                <w:sz w:val="24"/>
                <w:szCs w:val="24"/>
              </w:rPr>
              <w:t>сключения трудов</w:t>
            </w:r>
            <w:r w:rsidR="00F613D6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16040C">
              <w:rPr>
                <w:rFonts w:ascii="Times New Roman" w:hAnsi="Times New Roman"/>
                <w:sz w:val="24"/>
                <w:szCs w:val="24"/>
              </w:rPr>
              <w:t xml:space="preserve"> с координатора</w:t>
            </w:r>
            <w:r w:rsidR="00F275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9188CC" w14:textId="77777777" w:rsidR="006B399C" w:rsidRPr="006B399C" w:rsidRDefault="000D0A34" w:rsidP="000E53A6">
            <w:pPr>
              <w:pStyle w:val="ListParagraph"/>
              <w:spacing w:before="240" w:after="24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Разходите за възнаграждения по 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, буква „а“ от Раздел </w:t>
            </w:r>
            <w:r w:rsidR="007848A4">
              <w:rPr>
                <w:rFonts w:ascii="Times New Roman" w:hAnsi="Times New Roman"/>
                <w:sz w:val="24"/>
                <w:szCs w:val="24"/>
              </w:rPr>
              <w:t>12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 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>са допустими до размера</w:t>
            </w:r>
            <w:r w:rsidR="006B399C">
              <w:rPr>
                <w:rFonts w:ascii="Times New Roman" w:hAnsi="Times New Roman"/>
                <w:sz w:val="24"/>
                <w:szCs w:val="24"/>
              </w:rPr>
              <w:t xml:space="preserve"> на брутната работна заплата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определен </w:t>
            </w:r>
            <w:r w:rsidR="006B399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съгласно </w:t>
            </w:r>
            <w:r w:rsidR="006B399C">
              <w:rPr>
                <w:rFonts w:ascii="Times New Roman" w:hAnsi="Times New Roman"/>
                <w:sz w:val="24"/>
                <w:szCs w:val="24"/>
              </w:rPr>
              <w:t>Таблица № 1</w:t>
            </w:r>
            <w:r w:rsidR="009B143F">
              <w:rPr>
                <w:rFonts w:ascii="Times New Roman" w:hAnsi="Times New Roman"/>
                <w:sz w:val="24"/>
                <w:szCs w:val="24"/>
              </w:rPr>
              <w:t>,  за съответната икономическа дейност, в обхвата на която попада категорията труд, която се предвижда да се извършва по проекта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DC4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048">
              <w:rPr>
                <w:rFonts w:ascii="Times New Roman" w:hAnsi="Times New Roman"/>
                <w:sz w:val="24"/>
                <w:szCs w:val="24"/>
              </w:rPr>
              <w:t xml:space="preserve">Към тези разходи се добавят и разходите за осигуровки </w:t>
            </w:r>
            <w:r w:rsidR="006B399C">
              <w:rPr>
                <w:rFonts w:ascii="Times New Roman" w:hAnsi="Times New Roman"/>
                <w:sz w:val="24"/>
                <w:szCs w:val="24"/>
              </w:rPr>
              <w:t>за сметка</w:t>
            </w:r>
            <w:r w:rsidR="00120048">
              <w:rPr>
                <w:rFonts w:ascii="Times New Roman" w:hAnsi="Times New Roman"/>
                <w:sz w:val="24"/>
                <w:szCs w:val="24"/>
              </w:rPr>
              <w:t xml:space="preserve"> на работодателя.</w:t>
            </w:r>
            <w:r w:rsidR="006B3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39D78B" w14:textId="77777777" w:rsidR="006B399C" w:rsidRPr="006B399C" w:rsidRDefault="006B399C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399C">
              <w:rPr>
                <w:rFonts w:ascii="Times New Roman" w:hAnsi="Times New Roman"/>
                <w:b/>
                <w:sz w:val="24"/>
                <w:szCs w:val="24"/>
              </w:rPr>
              <w:t>Таблица № 1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5466"/>
              <w:gridCol w:w="1275"/>
              <w:gridCol w:w="1135"/>
              <w:gridCol w:w="1119"/>
            </w:tblGrid>
            <w:tr w:rsidR="009B143F" w:rsidRPr="006B399C" w14:paraId="5A537F76" w14:textId="77777777" w:rsidTr="009B143F">
              <w:tc>
                <w:tcPr>
                  <w:tcW w:w="3038" w:type="pct"/>
                  <w:shd w:val="clear" w:color="auto" w:fill="D9D9D9" w:themeFill="background1" w:themeFillShade="D9"/>
                  <w:vAlign w:val="center"/>
                </w:tcPr>
                <w:p w14:paraId="190EDCBF" w14:textId="77777777"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Икономически дейности</w:t>
                  </w:r>
                </w:p>
              </w:tc>
              <w:tc>
                <w:tcPr>
                  <w:tcW w:w="709" w:type="pct"/>
                  <w:shd w:val="clear" w:color="auto" w:fill="D9D9D9" w:themeFill="background1" w:themeFillShade="D9"/>
                  <w:vAlign w:val="center"/>
                </w:tcPr>
                <w:p w14:paraId="6A373891" w14:textId="77777777" w:rsidR="009B143F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Средн</w:t>
                  </w:r>
                  <w:r w:rsidR="00DF43F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</w:t>
                  </w: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638200D2" w14:textId="77777777"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брутна месечна заплата</w:t>
                  </w:r>
                </w:p>
              </w:tc>
              <w:tc>
                <w:tcPr>
                  <w:tcW w:w="631" w:type="pct"/>
                  <w:shd w:val="clear" w:color="auto" w:fill="D9D9D9" w:themeFill="background1" w:themeFillShade="D9"/>
                  <w:vAlign w:val="center"/>
                </w:tcPr>
                <w:p w14:paraId="0D665295" w14:textId="77777777" w:rsidR="009B143F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Средно</w:t>
                  </w:r>
                </w:p>
                <w:p w14:paraId="297ACCE3" w14:textId="77777777"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дневно възнагр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22" w:type="pct"/>
                  <w:shd w:val="clear" w:color="auto" w:fill="D9D9D9" w:themeFill="background1" w:themeFillShade="D9"/>
                  <w:vAlign w:val="center"/>
                </w:tcPr>
                <w:p w14:paraId="6712E120" w14:textId="77777777"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Почасова ставка</w:t>
                  </w:r>
                </w:p>
              </w:tc>
            </w:tr>
            <w:tr w:rsidR="009B143F" w:rsidRPr="006B399C" w14:paraId="4F56A61D" w14:textId="77777777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14:paraId="504DAEDA" w14:textId="77777777"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Селско, горско и рибно стопанство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39CAFE" w14:textId="77777777" w:rsidR="009B143F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1 635.67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2D5E64" w14:textId="77777777" w:rsidR="009B143F" w:rsidRPr="006B399C" w:rsidRDefault="009B143F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77.56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8B26A7" w14:textId="77777777" w:rsidR="009B143F" w:rsidRPr="006B399C" w:rsidRDefault="009B143F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9.69 лв.</w:t>
                  </w:r>
                </w:p>
              </w:tc>
            </w:tr>
            <w:tr w:rsidR="009B143F" w:rsidRPr="006B399C" w14:paraId="6A61B5D5" w14:textId="77777777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14:paraId="4A2F9162" w14:textId="77777777"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Преработваща промишленост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E93731" w14:textId="77777777" w:rsidR="009B143F" w:rsidRPr="006B399C" w:rsidRDefault="009B143F" w:rsidP="00DD2749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1 9</w:t>
                  </w:r>
                  <w:r w:rsidR="00DD2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40.50</w:t>
                  </w: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71D6F" w14:textId="77777777" w:rsidR="009B143F" w:rsidRPr="006B399C" w:rsidRDefault="009B143F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DD2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2.40</w:t>
                  </w: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30DB81" w14:textId="77777777" w:rsidR="009B143F" w:rsidRPr="006B399C" w:rsidRDefault="00DD2749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11.55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9B143F" w:rsidRPr="006B399C" w14:paraId="138F5379" w14:textId="77777777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14:paraId="4189A1A4" w14:textId="77777777"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Създаване и разпространение на информация и творчески продукти; далекосъобщения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AF4AE" w14:textId="77777777" w:rsidR="009B143F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5 280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.00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9AAD3" w14:textId="77777777" w:rsidR="009B143F" w:rsidRPr="006B399C" w:rsidRDefault="00DD2749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251.43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FB44E9" w14:textId="77777777" w:rsidR="009B143F" w:rsidRPr="006B399C" w:rsidRDefault="006A3F08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31.43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9B143F" w14:paraId="6EE2DDE8" w14:textId="77777777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14:paraId="7C81FE9A" w14:textId="77777777"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Професионални дейности и научни изследвания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115C3F" w14:textId="77777777" w:rsidR="009B143F" w:rsidRPr="006B399C" w:rsidRDefault="006A3F08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3 181.58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0CB1EF" w14:textId="77777777" w:rsidR="009B143F" w:rsidRPr="006B399C" w:rsidRDefault="006A3F08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151.50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12D784" w14:textId="77777777" w:rsidR="009B143F" w:rsidRPr="006B399C" w:rsidRDefault="006A3F08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18.94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DD2749" w14:paraId="6F609428" w14:textId="77777777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14:paraId="10681056" w14:textId="77777777" w:rsidR="00DD2749" w:rsidRPr="006B399C" w:rsidRDefault="00DD2749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D2749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Административни и спомагателни дейности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475AE2" w14:textId="77777777" w:rsidR="00DD2749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1926.58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7646F2" w14:textId="77777777" w:rsidR="00DD2749" w:rsidRPr="006B399C" w:rsidRDefault="00DD2749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91.74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8CB09F" w14:textId="77777777" w:rsidR="00DD2749" w:rsidRPr="006B399C" w:rsidRDefault="00DD2749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11.47 лв.</w:t>
                  </w:r>
                </w:p>
              </w:tc>
            </w:tr>
          </w:tbl>
          <w:p w14:paraId="6720BEE9" w14:textId="77777777" w:rsidR="009B143F" w:rsidRDefault="00281916" w:rsidP="008F2878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 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 xml:space="preserve">В случай на 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дейности, които не предвиждат продължителност повече от 10 часа седмично, за които са предвидени 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 xml:space="preserve">възнаграждения по т. 2, буква „а“ от Раздел 12 „Допустими разходи“ </w:t>
            </w:r>
            <w:r w:rsidR="00B576AC">
              <w:rPr>
                <w:rFonts w:ascii="Times New Roman" w:hAnsi="Times New Roman"/>
                <w:sz w:val="24"/>
                <w:szCs w:val="24"/>
              </w:rPr>
              <w:t>за лица, наети към член на оперативната група, е допустимо съответните лица да се ангажират на граждански договор. Размерът на възнагражденията се изчислява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 съгласно по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>часовата ставка за съответната икономическа дейност по таблица № 1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. Към тези разходи се добавят и разходите за осигуровки за сметка на работодателя. </w:t>
            </w:r>
          </w:p>
          <w:p w14:paraId="6E48DE90" w14:textId="77777777" w:rsidR="00102636" w:rsidRPr="009B143F" w:rsidRDefault="000D0A34" w:rsidP="00EC1F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43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84F2B" w:rsidRPr="009B14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Разходите за настаняване, като част от разходите по т. </w:t>
            </w:r>
            <w:r w:rsidR="00714381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>, буква „б“</w:t>
            </w:r>
            <w:r w:rsidR="00102636" w:rsidRPr="006113E1">
              <w:t xml:space="preserve">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>от раздел 1</w:t>
            </w:r>
            <w:r w:rsidR="007848A4" w:rsidRPr="009B143F">
              <w:rPr>
                <w:rFonts w:ascii="Times New Roman" w:hAnsi="Times New Roman"/>
                <w:sz w:val="24"/>
                <w:szCs w:val="24"/>
              </w:rPr>
              <w:t>2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 са допустими в случай, че са обосновани като необходими за изпълнение на дейностите в </w:t>
            </w:r>
            <w:r w:rsidR="00DC45BC" w:rsidRPr="009B143F">
              <w:rPr>
                <w:rFonts w:ascii="Times New Roman" w:hAnsi="Times New Roman"/>
                <w:sz w:val="24"/>
                <w:szCs w:val="24"/>
              </w:rPr>
              <w:t xml:space="preserve">новаторския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проект и не надвишават </w:t>
            </w:r>
            <w:r w:rsidR="00AB3FFA">
              <w:rPr>
                <w:rFonts w:ascii="Times New Roman" w:hAnsi="Times New Roman"/>
                <w:sz w:val="24"/>
                <w:szCs w:val="24"/>
                <w:lang w:val="bg-BG"/>
              </w:rPr>
              <w:t>120</w:t>
            </w:r>
            <w:r w:rsidR="00AB3FFA" w:rsidRPr="009B14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>лв. з</w:t>
            </w:r>
            <w:r w:rsidR="00C65656" w:rsidRPr="009B143F">
              <w:rPr>
                <w:rFonts w:ascii="Times New Roman" w:hAnsi="Times New Roman"/>
                <w:sz w:val="24"/>
                <w:szCs w:val="24"/>
              </w:rPr>
              <w:t>а една нощувка</w:t>
            </w:r>
            <w:r w:rsidR="0074215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13EFF">
              <w:rPr>
                <w:rFonts w:ascii="Times New Roman" w:hAnsi="Times New Roman"/>
                <w:sz w:val="24"/>
                <w:szCs w:val="24"/>
                <w:lang w:val="bg-BG"/>
              </w:rPr>
              <w:t>(61.36 евро)</w:t>
            </w:r>
            <w:r w:rsidR="00C65656" w:rsidRPr="009B143F">
              <w:rPr>
                <w:rFonts w:ascii="Times New Roman" w:hAnsi="Times New Roman"/>
                <w:sz w:val="24"/>
                <w:szCs w:val="24"/>
              </w:rPr>
              <w:t>. За тези разходи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 кандидатите не следва да представят независими съпоставими оферти.</w:t>
            </w:r>
          </w:p>
          <w:p w14:paraId="7C8F260E" w14:textId="77777777" w:rsidR="00A75156" w:rsidRDefault="000D0A34" w:rsidP="00EC1F0A">
            <w:pPr>
              <w:pStyle w:val="ListParagraph"/>
              <w:spacing w:after="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>. Разходите за транспорт</w:t>
            </w:r>
            <w:r w:rsidR="00DC45BC">
              <w:rPr>
                <w:rFonts w:ascii="Times New Roman" w:hAnsi="Times New Roman"/>
                <w:sz w:val="24"/>
                <w:szCs w:val="24"/>
              </w:rPr>
              <w:t>, като част от разходите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>буква „б“ от раздел 1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</w:t>
            </w:r>
            <w:r w:rsidR="00DC45BC">
              <w:rPr>
                <w:rFonts w:ascii="Times New Roman" w:hAnsi="Times New Roman"/>
                <w:sz w:val="24"/>
                <w:szCs w:val="24"/>
              </w:rPr>
              <w:t>,</w:t>
            </w:r>
            <w:r w:rsidR="0010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се планират в размер на 0,43 лв. </w:t>
            </w:r>
            <w:r w:rsidR="00742152">
              <w:rPr>
                <w:rFonts w:ascii="Times New Roman" w:hAnsi="Times New Roman"/>
                <w:sz w:val="24"/>
                <w:szCs w:val="24"/>
              </w:rPr>
              <w:t xml:space="preserve">с ДДС 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(0.22 евро) на километър при използване на собствен транспорт  или при представяне на обосновка на разходите за конкретни разстояния и маршрути с обществен транспорт (автобус, влак). </w:t>
            </w:r>
            <w:r w:rsidR="00F70018" w:rsidRPr="00F70018">
              <w:rPr>
                <w:rFonts w:ascii="Times New Roman" w:hAnsi="Times New Roman"/>
                <w:sz w:val="24"/>
                <w:szCs w:val="24"/>
              </w:rPr>
              <w:t>За тези разходи кандидатите не следва да представят независими съпоставими оферти.</w:t>
            </w:r>
          </w:p>
          <w:p w14:paraId="1AB3EF15" w14:textId="77777777" w:rsidR="0017055B" w:rsidRDefault="006113E1" w:rsidP="00102636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Разходите по 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буква „в“ от </w:t>
            </w:r>
            <w:r w:rsidRPr="006113E1">
              <w:rPr>
                <w:rFonts w:ascii="Times New Roman" w:hAnsi="Times New Roman"/>
                <w:sz w:val="24"/>
                <w:szCs w:val="24"/>
              </w:rPr>
              <w:t>раздел 12 „Допустими разходи“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13E1">
              <w:rPr>
                <w:rFonts w:ascii="Times New Roman" w:hAnsi="Times New Roman"/>
                <w:sz w:val="24"/>
                <w:szCs w:val="24"/>
              </w:rPr>
              <w:t>за земеделска техника, машини, сгради и оборудване се определя на база годишната амортизационна норма, за съответния актив, изчислен за периода на реалното използване за нуждите на проекта. Разходи за амортизации не могат да надхвърлят определените в Закона за корпоративното подоходно облагане годишни данъчни амортизационни норми за съответните категории активи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E7C62F" w14:textId="77777777" w:rsidR="006113E1" w:rsidRPr="008F2878" w:rsidRDefault="006113E1" w:rsidP="00281916">
            <w:pPr>
              <w:pStyle w:val="ListParagraph"/>
              <w:spacing w:after="0"/>
              <w:ind w:left="-21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Прогнозният размер на разходите по т. </w:t>
            </w:r>
            <w:r w:rsidR="00714381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>, буква „</w:t>
            </w:r>
            <w:r w:rsidR="00586F8C">
              <w:rPr>
                <w:rFonts w:ascii="TimesNewRomanPSMT" w:hAnsi="TimesNewRomanPSMT" w:cs="TimesNewRomanPSMT"/>
                <w:sz w:val="24"/>
                <w:szCs w:val="24"/>
              </w:rPr>
              <w:t>в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“ </w:t>
            </w:r>
            <w:r w:rsidRPr="006113E1">
              <w:rPr>
                <w:rFonts w:ascii="TimesNewRomanPSMT" w:hAnsi="TimesNewRomanPSMT" w:cs="TimesNewRomanPSMT"/>
                <w:sz w:val="24"/>
                <w:szCs w:val="24"/>
              </w:rPr>
              <w:t>от раздел 12 „Допустими разходи“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 за земеделски площи се определя в съответствие с представените документи и размера на средното годишно рентно плащане за конкретното землище, по цени съгласно Закона за собствеността и ползването на земеделските земи за стопанската година към датата на кандидатстване, за периода на използване по проекта.</w:t>
            </w:r>
            <w:r w:rsidR="00281916" w:rsidRPr="00281916">
              <w:rPr>
                <w:rFonts w:ascii="TimesNewRomanPSMT" w:hAnsi="TimesNewRomanPSMT" w:cs="TimesNewRomanPSMT"/>
                <w:sz w:val="24"/>
                <w:szCs w:val="24"/>
              </w:rPr>
              <w:t xml:space="preserve"> За площи с трайни насаждения, предоставени от членове на оперативната група за целите на новаторския проект, се прилага</w:t>
            </w:r>
            <w:r w:rsidR="0070717A">
              <w:rPr>
                <w:rFonts w:ascii="TimesNewRomanPSMT" w:hAnsi="TimesNewRomanPSMT" w:cs="TimesNewRomanPSMT"/>
                <w:sz w:val="24"/>
                <w:szCs w:val="24"/>
              </w:rPr>
              <w:t xml:space="preserve"> размерът на</w:t>
            </w:r>
            <w:r w:rsidR="00281916" w:rsidRPr="0028191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="0070717A">
              <w:rPr>
                <w:rFonts w:ascii="TimesNewRomanPSMT" w:hAnsi="TimesNewRomanPSMT" w:cs="TimesNewRomanPSMT"/>
                <w:sz w:val="24"/>
                <w:szCs w:val="24"/>
              </w:rPr>
              <w:t xml:space="preserve">сумите от сключените </w:t>
            </w:r>
            <w:r w:rsidR="00281916" w:rsidRPr="00281916">
              <w:rPr>
                <w:rFonts w:ascii="TimesNewRomanPSMT" w:hAnsi="TimesNewRomanPSMT" w:cs="TimesNewRomanPSMT"/>
                <w:sz w:val="24"/>
                <w:szCs w:val="24"/>
              </w:rPr>
              <w:t xml:space="preserve">договори за аредна, </w:t>
            </w:r>
            <w:r w:rsidR="0070717A">
              <w:rPr>
                <w:rFonts w:ascii="TimesNewRomanPSMT" w:hAnsi="TimesNewRomanPSMT" w:cs="TimesNewRomanPSMT"/>
                <w:sz w:val="24"/>
                <w:szCs w:val="24"/>
              </w:rPr>
              <w:t xml:space="preserve">които следва да са </w:t>
            </w:r>
            <w:r w:rsidR="00281916" w:rsidRPr="00281916">
              <w:rPr>
                <w:rFonts w:ascii="TimesNewRomanPSMT" w:hAnsi="TimesNewRomanPSMT" w:cs="TimesNewRomanPSMT"/>
                <w:sz w:val="24"/>
                <w:szCs w:val="24"/>
              </w:rPr>
              <w:t>представени и в общинска служба „Земеделие“ по място на регистрация на земеделския стопанин.</w:t>
            </w:r>
          </w:p>
          <w:p w14:paraId="6DAAAC79" w14:textId="1CBA37DB" w:rsidR="00ED349D" w:rsidRPr="00DF43F2" w:rsidRDefault="00ED349D" w:rsidP="00200533">
            <w:pPr>
              <w:pStyle w:val="ListParagraph"/>
              <w:spacing w:after="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12. Общият размер на допустимите за подпомагане разходи по т. </w:t>
            </w:r>
            <w:r w:rsidR="00714381" w:rsidRPr="00DF43F2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  <w:r w:rsidRPr="00DF43F2"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 w:rsid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 буква „д“ не може да </w:t>
            </w:r>
            <w:r w:rsidR="00DF43F2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надвърля 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</w:rPr>
              <w:t>97 790</w:t>
            </w:r>
            <w:r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 лв. (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="007D25E7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0 </w:t>
            </w:r>
            <w:r w:rsidRPr="006A3F08">
              <w:rPr>
                <w:rFonts w:ascii="TimesNewRomanPSMT" w:hAnsi="TimesNewRomanPSMT" w:cs="TimesNewRomanPSMT"/>
                <w:sz w:val="24"/>
                <w:szCs w:val="24"/>
              </w:rPr>
              <w:t>000 евро).</w:t>
            </w:r>
            <w:r w:rsidR="009F5AE7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 За</w:t>
            </w:r>
            <w:r w:rsidR="009F5AE7" w:rsidRP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 физически лица, предоставящи услуги по т. </w:t>
            </w:r>
            <w:r w:rsidR="0089461F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  <w:r w:rsidR="009F5AE7" w:rsidRPr="00DF43F2">
              <w:rPr>
                <w:rFonts w:ascii="TimesNewRomanPSMT" w:hAnsi="TimesNewRomanPSMT" w:cs="TimesNewRomanPSMT"/>
                <w:sz w:val="24"/>
                <w:szCs w:val="24"/>
              </w:rPr>
              <w:t>, буква „д“ от Раздел 12. „Допустими разходи“, към заявлението за подпомагане се прилагат документи, доказващи компетентност или опит в областта на предлаганата услуга.</w:t>
            </w:r>
          </w:p>
          <w:p w14:paraId="47A78F06" w14:textId="77777777" w:rsidR="00E02065" w:rsidRPr="00443AE0" w:rsidRDefault="00D471D1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C93A7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3</w:t>
            </w:r>
            <w:r w:rsidR="00A81F45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</w:t>
            </w:r>
            <w:r w:rsidR="00A81F45" w:rsidRPr="00A81F45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Разходите за 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разпространение на </w:t>
            </w:r>
            <w:r w:rsidR="004C737C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целите и 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резултатите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от Раздел </w:t>
            </w:r>
            <w:r w:rsid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12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„Допустими разходи“ се включват в бюджета на 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заявлението за подпомагане, като за тях задължително се използват посочените стойности в Приложение № </w:t>
            </w:r>
            <w:r w:rsidR="0071438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„Стандартна таблица на разходите за единица продукти</w:t>
            </w:r>
            <w:r w:rsidR="00C93A7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“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 За тези разходи, кандидатите не следва да представят независими съпоставими оферти.</w:t>
            </w:r>
          </w:p>
          <w:p w14:paraId="0226B6C5" w14:textId="77777777" w:rsidR="00E02065" w:rsidRPr="00443AE0" w:rsidRDefault="00E02065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За всички разходи по т. 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586F8C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„г“ и „д“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т. 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3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от раздел 12. „Допустими разходи“ се изисква предоставяне на три съпоставими независими оферти</w:t>
            </w:r>
            <w:r w:rsidR="008A6CB9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</w:p>
          <w:p w14:paraId="223E5206" w14:textId="77777777" w:rsidR="00D471D1" w:rsidRPr="00443AE0" w:rsidRDefault="00633548" w:rsidP="00D471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 Основателността на предложените за финансиране разходи се преценява:</w:t>
            </w:r>
          </w:p>
          <w:p w14:paraId="4BDD7B56" w14:textId="77777777" w:rsidR="00D471D1" w:rsidRPr="00443AE0" w:rsidRDefault="00633548" w:rsidP="00D471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а)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="006A3F0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от раздел 12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„Допустими разходи“, посочени във финансовия план, чрез съпоставка със стандартните разходи, посочени в Приложение № </w:t>
            </w:r>
            <w:r w:rsidR="0071438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;</w:t>
            </w:r>
          </w:p>
          <w:p w14:paraId="0AD163D8" w14:textId="77777777" w:rsidR="006C27E9" w:rsidRDefault="00633548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б)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2, буква „г“ и „д“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и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3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от </w:t>
            </w:r>
            <w:r w:rsidR="008A6CB9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раздел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12. „Допустими разходи</w:t>
            </w:r>
            <w:r w:rsidR="00D471D1" w:rsidRPr="00D471D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“, посочени във финансовия план, чрез сравняване на 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най-малко три съпоставими независими оферти, които съдържат наименование, ЕИК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/</w:t>
            </w:r>
            <w:r w:rsidR="009443EA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ЕГН/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БУСТАТ</w:t>
            </w:r>
            <w:r w:rsid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електронна поща на оферента, срока на валидност на офертата, датата на издаване на офертата, подпис на оферента, подробна техническа спецификация на активите/услугите, цена в левове</w:t>
            </w:r>
            <w:r w:rsid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/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евро с посочен ДДС. </w:t>
            </w:r>
          </w:p>
          <w:p w14:paraId="1DF00187" w14:textId="77777777" w:rsidR="004C737C" w:rsidRDefault="009462A0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В случаите 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„б“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когато оферентите са местни лица, трябва да са вписани в търговския регистър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регистър на ЮЛНЦ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, а оферентите – чуждестранни лица, следва да представят документ за правосубектност съгласно националното им 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lastRenderedPageBreak/>
              <w:t>законодателство. Изискването за вписване в търговския регистър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регистър на ЮЛНЦ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не се прилага за  физически лица, предоставящи услуги по проекта. Оферентите на посевен и посадъчен материал трябва да имат издадено разрешително за производство и заготовка на посевен и посадъчен материал и/или удостоверение за регистрация като търговец на посевен и посадъчен материал в случаите, предвидени в Закона за посевния и посадъчния материал.</w:t>
            </w:r>
            <w:r w:rsidR="004E1BFC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</w:p>
          <w:p w14:paraId="1B776A64" w14:textId="77777777" w:rsidR="00F212D9" w:rsidRPr="00F212D9" w:rsidRDefault="00D471D1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7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. Когато член на оперативната група е възложител по ЗОП и дейностите по проекта не могат да бъдат обособени и разделени, всички процедури за избор на изпълнител се провеждат по реда на ЗОП.</w:t>
            </w:r>
          </w:p>
          <w:p w14:paraId="4F3949B5" w14:textId="77777777" w:rsidR="00F212D9" w:rsidRPr="00F212D9" w:rsidRDefault="001D5ED1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8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. Когато член на оперативната група е възложител по ЗОП и изборът на изпълнители се извършва общо от оперативната група, всички процедури за избор на изпълнител се провеждат по реда на ЗОП.</w:t>
            </w:r>
          </w:p>
          <w:p w14:paraId="63CD7440" w14:textId="77777777" w:rsidR="00F212D9" w:rsidRPr="001D5ED1" w:rsidRDefault="009F5AE7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19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Когато член на оперативната група е възложител по ЗОП и дейностите по проекта могат да бъдат обособени и разделени и изборът на изпълнители се извършва от различни членове на ОГ, членовете, които са възложители съгласно </w:t>
            </w:r>
            <w:r w:rsidR="00F212D9" w:rsidRPr="007A072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чл. 5 от ЗОП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извършват избора при спазване на закона, а останалите членове 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въз основа</w:t>
            </w:r>
            <w:r w:rsidR="001D5ED1" w:rsidRPr="001D5ED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на представени независими оферти</w:t>
            </w:r>
            <w:r w:rsidR="001D5ED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</w:p>
          <w:p w14:paraId="5BF1B0BC" w14:textId="77777777" w:rsidR="00F212D9" w:rsidRPr="00F212D9" w:rsidRDefault="00633548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0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Офертите 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„б“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могат да бъдат адресирани и до членове на оперативната група, но при условие, че в тях е указано, че същите са свързани с изпълнение на конкретния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новаторски 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проект на оперативната група.</w:t>
            </w:r>
          </w:p>
          <w:p w14:paraId="6216154E" w14:textId="77777777" w:rsidR="00F212D9" w:rsidRPr="00F212D9" w:rsidRDefault="00586F8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105DDD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Разходите за полагаем платен годишен отпуск са допустими за периода на изпълнение на дейностите по проекта и до размера на </w:t>
            </w:r>
            <w:r w:rsidR="00BE489D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полагаемия се 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платен годишен отпуск</w:t>
            </w:r>
            <w:r w:rsidR="00BE489D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съгласно 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чл. </w:t>
            </w:r>
            <w:r w:rsidR="00F212D9" w:rsidRPr="0071438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155 </w:t>
            </w:r>
            <w:r w:rsidR="00BE489D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и чл. 156 </w:t>
            </w:r>
            <w:r w:rsidR="00F212D9" w:rsidRPr="0071438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от Кодекса на труда.</w:t>
            </w:r>
          </w:p>
          <w:p w14:paraId="043C3897" w14:textId="77777777" w:rsidR="00816A69" w:rsidRDefault="00105DDD" w:rsidP="00816A6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6A6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Преки</w:t>
            </w:r>
            <w:r w:rsidR="00816A69">
              <w:rPr>
                <w:rFonts w:ascii="Times New Roman" w:hAnsi="Times New Roman"/>
                <w:sz w:val="24"/>
                <w:szCs w:val="24"/>
              </w:rPr>
              <w:t>те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 xml:space="preserve"> разходи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по т. </w:t>
            </w:r>
            <w:r w:rsidR="00633548">
              <w:rPr>
                <w:rFonts w:ascii="Times New Roman" w:hAnsi="Times New Roman"/>
                <w:sz w:val="24"/>
                <w:szCs w:val="24"/>
              </w:rPr>
              <w:t>3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от раздел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12. „Допустими разходи“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 xml:space="preserve">се финансират пропорционално за периода на продължителност на </w:t>
            </w:r>
            <w:r w:rsidR="00816A69">
              <w:rPr>
                <w:rFonts w:ascii="Times New Roman" w:hAnsi="Times New Roman"/>
                <w:sz w:val="24"/>
                <w:szCs w:val="24"/>
              </w:rPr>
              <w:t>новаторския период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, но за срок не по-дълъг от тяхното реално използване за постигане целите на проекта, като се взимат предвид начислените разходи за амортизации.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година.</w:t>
            </w:r>
          </w:p>
          <w:p w14:paraId="1553B7E0" w14:textId="77777777" w:rsidR="00577D09" w:rsidRPr="00577D09" w:rsidRDefault="00105DDD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77D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 xml:space="preserve">Подпомаганите активи под формата на амортизационни разходи по т. </w:t>
            </w:r>
            <w:r w:rsidR="00633548">
              <w:rPr>
                <w:rFonts w:ascii="Times New Roman" w:hAnsi="Times New Roman"/>
                <w:sz w:val="24"/>
                <w:szCs w:val="24"/>
              </w:rPr>
              <w:t>3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 xml:space="preserve"> от раздел 12. „Допустими разходи“ трябва да се използват само и единствено за дейностите, предвидени по проекта и да са придобити след сключване на административния договор.</w:t>
            </w:r>
          </w:p>
          <w:p w14:paraId="47C1B6A2" w14:textId="77777777" w:rsidR="00577D09" w:rsidRDefault="00105DDD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>. Допустимите преки</w:t>
            </w:r>
            <w:r w:rsidR="00577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633548">
              <w:rPr>
                <w:rFonts w:ascii="Times New Roman" w:hAnsi="Times New Roman"/>
                <w:sz w:val="24"/>
                <w:szCs w:val="24"/>
              </w:rPr>
              <w:t xml:space="preserve"> по т. 3 от Раздел 12 „Допустими разходи“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>, финансирани под формата на амортизационни разходи, се изчисляват в съответствие със Закона за корпоративното подоходно облагане и не могат да надвишават годишните данъчни амортизационни норми, определени з</w:t>
            </w:r>
            <w:r w:rsidR="00577D09">
              <w:rPr>
                <w:rFonts w:ascii="Times New Roman" w:hAnsi="Times New Roman"/>
                <w:sz w:val="24"/>
                <w:szCs w:val="24"/>
              </w:rPr>
              <w:t>а съответните категории активи.</w:t>
            </w:r>
          </w:p>
          <w:p w14:paraId="6D884FC6" w14:textId="77777777" w:rsidR="00633548" w:rsidRDefault="00105DDD" w:rsidP="00443AE0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3F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B662C" w:rsidRPr="00DF43F2">
              <w:rPr>
                <w:rFonts w:ascii="Times New Roman" w:hAnsi="Times New Roman"/>
                <w:sz w:val="24"/>
                <w:szCs w:val="24"/>
              </w:rPr>
              <w:t xml:space="preserve">. Общата стойност на допустимите </w:t>
            </w:r>
            <w:r w:rsidR="00633548" w:rsidRPr="00DF43F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преки разходи по т. </w:t>
            </w:r>
            <w:r w:rsidRPr="00DF43F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43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662C" w:rsidRPr="00DF43F2">
              <w:rPr>
                <w:rFonts w:ascii="Times New Roman" w:hAnsi="Times New Roman"/>
                <w:sz w:val="24"/>
                <w:szCs w:val="24"/>
              </w:rPr>
              <w:t xml:space="preserve">не може да надхвърля </w:t>
            </w:r>
            <w:r w:rsidR="00ED349D" w:rsidRPr="00DF43F2">
              <w:rPr>
                <w:rFonts w:ascii="Times New Roman" w:hAnsi="Times New Roman"/>
                <w:sz w:val="24"/>
                <w:szCs w:val="24"/>
              </w:rPr>
              <w:t>195 580 лв. (100 000 евро).</w:t>
            </w:r>
          </w:p>
          <w:p w14:paraId="2169407D" w14:textId="77777777" w:rsidR="00F005A7" w:rsidRPr="00DF43F2" w:rsidRDefault="00F005A7" w:rsidP="00443AE0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 Разходите по т. 2, буква „г“ от раздел 12 „Допустими разходи“ не представляват дълготраен актив по смисъла на ЗКПО.</w:t>
            </w:r>
          </w:p>
          <w:p w14:paraId="5DDBC211" w14:textId="77777777" w:rsidR="009B143F" w:rsidRDefault="009B143F" w:rsidP="009B143F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2B0EB07" w14:textId="77777777" w:rsidR="009B143F" w:rsidRDefault="00F005A7" w:rsidP="00105DDD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B143F">
              <w:rPr>
                <w:rFonts w:ascii="Times New Roman" w:hAnsi="Times New Roman"/>
                <w:sz w:val="24"/>
                <w:szCs w:val="24"/>
              </w:rPr>
              <w:t xml:space="preserve">. Размерът на допустимите разходи по т. 7 може да бъде актуализиран при необходимост съгалсно актуални данни на НСИ за </w:t>
            </w:r>
            <w:r w:rsidR="009B143F" w:rsidRPr="009B143F">
              <w:rPr>
                <w:rFonts w:ascii="Times New Roman" w:hAnsi="Times New Roman"/>
                <w:sz w:val="24"/>
                <w:szCs w:val="24"/>
              </w:rPr>
              <w:t>средна брутна месечна заплата на наетите лица  по трудово и служебно правоотношение</w:t>
            </w:r>
            <w:r w:rsidR="009B14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35581D" w14:textId="77777777" w:rsidR="00B576AC" w:rsidRPr="00AA3C90" w:rsidRDefault="00F005A7" w:rsidP="00F005A7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. Ограничението по т. 7.1 се отнася 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за лица, определени като екип в рамките на </w:t>
            </w:r>
            <w:r w:rsidR="00CC4E85">
              <w:rPr>
                <w:rFonts w:ascii="Times New Roman" w:hAnsi="Times New Roman"/>
                <w:sz w:val="24"/>
                <w:szCs w:val="24"/>
              </w:rPr>
              <w:t>повече от едно заявление за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 подпомагане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 по настоящата процедура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B576AC">
              <w:rPr>
                <w:rFonts w:ascii="Times New Roman" w:hAnsi="Times New Roman"/>
                <w:sz w:val="24"/>
                <w:szCs w:val="24"/>
              </w:rPr>
              <w:t>които е предвидено да изпълняват дейности на граждански договор</w:t>
            </w:r>
            <w:r w:rsidR="00CC4E85">
              <w:rPr>
                <w:rFonts w:ascii="Times New Roman" w:hAnsi="Times New Roman"/>
                <w:sz w:val="24"/>
                <w:szCs w:val="24"/>
              </w:rPr>
              <w:t>, сключен с член на оперативната група</w:t>
            </w:r>
            <w:r w:rsidR="00B576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AC2C97C" w14:textId="77777777" w:rsidR="00F54DC6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212561379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F54DC6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Недопустими разходи</w:t>
      </w:r>
      <w:bookmarkEnd w:id="14"/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F54DC6" w:rsidRPr="00FF727D" w14:paraId="41F83258" w14:textId="77777777" w:rsidTr="00EB248C">
        <w:trPr>
          <w:trHeight w:val="404"/>
        </w:trPr>
        <w:tc>
          <w:tcPr>
            <w:tcW w:w="9214" w:type="dxa"/>
          </w:tcPr>
          <w:p w14:paraId="7DB87934" w14:textId="77777777"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CB">
              <w:rPr>
                <w:rFonts w:ascii="Times New Roman" w:hAnsi="Times New Roman"/>
                <w:sz w:val="24"/>
                <w:szCs w:val="24"/>
              </w:rPr>
              <w:t>Недопустими за подпомагане са следните разходи:</w:t>
            </w:r>
          </w:p>
          <w:p w14:paraId="290EB3F5" w14:textId="77777777"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Осигурителни вноски по възнаграждения, които не са задължителни по силата на нормативен акт.</w:t>
            </w:r>
          </w:p>
          <w:p w14:paraId="341A7F6B" w14:textId="77777777"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Данък върху добавена стойност (ДДС), с изключение на невъзстановим ДДС, когато е поет действително и окончателно от кандидати, различни от лицата, освободени</w:t>
            </w:r>
            <w:r w:rsidR="00DF43F2">
              <w:rPr>
                <w:rFonts w:ascii="Times New Roman" w:hAnsi="Times New Roman"/>
                <w:sz w:val="24"/>
                <w:szCs w:val="24"/>
              </w:rPr>
              <w:t xml:space="preserve"> от данък съгласно чл. 3, ал. 5</w:t>
            </w:r>
            <w:r w:rsidR="00DF43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от Закона за данък върху добавената стойност.</w:t>
            </w:r>
          </w:p>
          <w:p w14:paraId="7796F54C" w14:textId="77777777"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Лихви, глоби и неустойки.</w:t>
            </w:r>
          </w:p>
          <w:p w14:paraId="754D651C" w14:textId="77777777"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Разходи, включени в заявлението за подпомагане, за които са установени изкуствено създадени условия за получаване на безвъзмездна финансова помощ.</w:t>
            </w:r>
          </w:p>
          <w:p w14:paraId="352CD0CB" w14:textId="77777777" w:rsidR="006061EE" w:rsidRP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 xml:space="preserve">. Разходи, платени в брой, с изключение на разходи за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командировки, административни разходи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</w:t>
            </w:r>
            <w:r w:rsidR="008F28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1, буква „б“,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стандартни разходи по т.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4 и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разходи за земеделски площи по т.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2, буква 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в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12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Допустими разходи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“.</w:t>
            </w:r>
          </w:p>
          <w:p w14:paraId="1352CBB3" w14:textId="77777777"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Заявени за финансиране разходи в частта им, която надвишава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  <w:t>:</w:t>
            </w:r>
          </w:p>
          <w:p w14:paraId="6A5D3E3C" w14:textId="77777777"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  <w:t>a)</w:t>
            </w:r>
            <w:r w:rsidR="00E025F9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определените в приложение №</w:t>
            </w:r>
            <w:r w:rsidR="00E025F9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DC6CDB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6</w:t>
            </w:r>
            <w:r w:rsidRPr="002C78A4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„</w:t>
            </w:r>
            <w:r w:rsidRPr="00603E73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Стандартна таблица на разходи за единица продукт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“</w:t>
            </w:r>
            <w:r w:rsidRPr="00603E73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2C78A4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количества и единични цени за опростените разходи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;</w:t>
            </w:r>
          </w:p>
          <w:p w14:paraId="16296415" w14:textId="77777777"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б) </w:t>
            </w:r>
            <w:r w:rsidR="00DF43F2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ай-ниската предложена цена от представените оференти;</w:t>
            </w:r>
          </w:p>
          <w:p w14:paraId="4CF13CC4" w14:textId="77777777" w:rsidR="006061EE" w:rsidRPr="00AA3C90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в) </w:t>
            </w:r>
            <w:r w:rsidR="00DF43F2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Максималните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прагове за бюджета по т. </w:t>
            </w:r>
            <w:r w:rsid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12 и т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. 2</w:t>
            </w:r>
            <w:r w:rsidR="00D40FC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5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от раздел 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13 „</w:t>
            </w:r>
            <w:r w:rsidR="00473586" w:rsidRPr="00AA3C9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Условия за допустимост на разходите</w:t>
            </w:r>
            <w:r w:rsidR="00473586" w:rsidRPr="00AA3C90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“.</w:t>
            </w:r>
          </w:p>
          <w:p w14:paraId="5DB4FB73" w14:textId="77777777" w:rsidR="008163D6" w:rsidRDefault="008163D6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  <w:r w:rsidRPr="008163D6">
              <w:rPr>
                <w:rFonts w:ascii="Times New Roman" w:hAnsi="Times New Roman"/>
                <w:sz w:val="24"/>
                <w:szCs w:val="24"/>
              </w:rPr>
              <w:t>. Създаване и/или презасаждане на трайни насаждения.</w:t>
            </w:r>
          </w:p>
          <w:p w14:paraId="031F593A" w14:textId="77777777"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t xml:space="preserve"> </w:t>
            </w:r>
            <w:r w:rsidR="008163D6" w:rsidRPr="0038372B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 xml:space="preserve"> за информираност и публичност, които не отговарят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техническите 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>изискванията, посочени в</w:t>
            </w:r>
            <w:r>
              <w:t xml:space="preserve"> 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>Приложение № ІІ към чл. 5 от Регламент за изпълнение (ЕС) 2022/129 на Комисията от 21 декември 2021 година за установяване на правила за видовете интервенции по отношение на маслодайните семена, памука и вторичните продукти от производството на вино съгласно Регламент (ЕС) 2021/2115 на Европейския парламент и на Съвета и за изискванията за информация, публичност и видимост във връзка с подпомагането от Съюза и стратегическите планове по ОСП (OB L 20 от 31.1.2022 г.)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AEAF81" w14:textId="77777777" w:rsidR="006061EE" w:rsidRDefault="006061EE" w:rsidP="006061E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Разходи за принос в натура.</w:t>
            </w:r>
          </w:p>
          <w:p w14:paraId="1C8FD2DE" w14:textId="77777777" w:rsidR="00560904" w:rsidRDefault="006061EE" w:rsidP="006061E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10. </w:t>
            </w:r>
            <w:r w:rsidRPr="00DF5377">
              <w:rPr>
                <w:rFonts w:ascii="TimesNewRomanPSMT" w:hAnsi="TimesNewRomanPSMT" w:cs="TimesNewRomanPSMT"/>
                <w:sz w:val="24"/>
                <w:szCs w:val="24"/>
              </w:rPr>
              <w:t>Разходи за банкови такси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14:paraId="54994173" w14:textId="77777777" w:rsidR="008163D6" w:rsidRDefault="008163D6" w:rsidP="008163D6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11. 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3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, буква „в“ от Раздел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12.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„Допустими разходи“ за предоставени от членовете на Оперативната група за нуждите по проекта – земеделска техника, машини, сгради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 и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оборудване с изтекъл амортизационен период към датата на кандидатстване.</w:t>
            </w:r>
          </w:p>
          <w:p w14:paraId="1670B877" w14:textId="77777777" w:rsidR="00F75091" w:rsidRPr="00F75091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12. Разходи за активи по т. 3 от раздел 12, които са втора употреба.</w:t>
            </w:r>
          </w:p>
          <w:p w14:paraId="7D615EFB" w14:textId="77777777" w:rsidR="00F75091" w:rsidRPr="00F75091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13.</w:t>
            </w:r>
            <w:r w:rsidR="008F287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Разходи за инвестиции/дейности, които са финансирани със средства от Европейския съюз, както и с други публични средства, различни от тези на кандидата и са за същата дейност, включително и разходи, за които е установено двойно финансиране.</w:t>
            </w:r>
          </w:p>
          <w:p w14:paraId="1B85B467" w14:textId="77777777" w:rsidR="00F75091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14. Разходи за трудови възнаграждения на повече от един координатор по проекта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.</w:t>
            </w:r>
          </w:p>
          <w:p w14:paraId="73669893" w14:textId="77777777" w:rsidR="00706CB6" w:rsidRPr="008F2878" w:rsidRDefault="00706CB6" w:rsidP="00D40FC6">
            <w:pPr>
              <w:jc w:val="both"/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1</w:t>
            </w:r>
            <w:r w:rsidR="00D40FC6"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5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. Разходи за </w:t>
            </w:r>
            <w:r w:rsidR="00E87805"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закупуване на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продукти за растителна защита, торове, ветеринарни лекарствени продукти и фуражи, които не са </w:t>
            </w:r>
            <w:r w:rsidR="00D40FC6"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регистрирани по реда на Закона за защита на растенията.</w:t>
            </w:r>
          </w:p>
        </w:tc>
      </w:tr>
    </w:tbl>
    <w:p w14:paraId="69B02605" w14:textId="77777777" w:rsidR="00CE1ADE" w:rsidRPr="004F39ED" w:rsidRDefault="00B3053F" w:rsidP="00EB248C">
      <w:pPr>
        <w:pStyle w:val="Heading1"/>
        <w:ind w:left="14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212561380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Критерии за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подбор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извършване на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предварителна оценка (ако е приложимо)</w:t>
      </w:r>
      <w:bookmarkEnd w:id="15"/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CE1ADE" w:rsidRPr="004F39ED" w14:paraId="4A4D57E5" w14:textId="77777777" w:rsidTr="00EB248C">
        <w:tc>
          <w:tcPr>
            <w:tcW w:w="9214" w:type="dxa"/>
          </w:tcPr>
          <w:p w14:paraId="25AF75AB" w14:textId="5624AC0E" w:rsidR="00FC01A6" w:rsidRDefault="00D65705" w:rsidP="006626C3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1. Предварителна оценка на заявления за подпомагане </w:t>
            </w:r>
            <w:r w:rsidR="002709B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във връзка с чл. 11, ал. 1 от Наредба № 4 </w:t>
            </w:r>
            <w:r w:rsidR="002709B2" w:rsidRPr="004F39ED">
              <w:rPr>
                <w:rFonts w:ascii="Times New Roman" w:eastAsia="Times New Roman" w:hAnsi="Times New Roman"/>
                <w:bCs/>
                <w:color w:val="000000"/>
                <w:spacing w:val="1"/>
                <w:sz w:val="24"/>
                <w:szCs w:val="24"/>
                <w:lang w:eastAsia="bg-BG"/>
              </w:rPr>
              <w:t>от 25 октомври 2024 г.</w:t>
            </w:r>
            <w:r w:rsidR="002709B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1370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="003D6E9A" w:rsidRPr="0090137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неприложима</w:t>
            </w:r>
            <w:r w:rsidR="003D6E9A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r w:rsidR="004B39EC" w:rsidRPr="004F39ED">
              <w:rPr>
                <w:rFonts w:ascii="Times New Roman" w:eastAsia="Times New Roman" w:hAnsi="Times New Roman"/>
                <w:sz w:val="24"/>
                <w:szCs w:val="24"/>
              </w:rPr>
              <w:t>настоящия прием на заявления за подпомагане</w:t>
            </w:r>
            <w:r w:rsidR="0032420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6FBE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по процедура </w:t>
            </w:r>
            <w:r w:rsidR="006626C3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чрез подбор </w:t>
            </w:r>
            <w:r w:rsidR="006626C3" w:rsidRPr="006626C3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„Подкрепа за оперативни групи</w:t>
            </w:r>
            <w:r w:rsidR="006626C3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(втора стъпка)“ по интервенция </w:t>
            </w:r>
            <w:r w:rsidR="006626C3" w:rsidRPr="006626C3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II.Ж.1 „Подкрепа за оперативни групи в рамките на Европейското партньорство за иновации“ от СПРЗСР 2023 – 2027 г.</w:t>
            </w:r>
          </w:p>
          <w:p w14:paraId="5741F185" w14:textId="77777777" w:rsidR="00D65705" w:rsidRDefault="00D65705" w:rsidP="00D65705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 Критерии</w:t>
            </w:r>
            <w:r w:rsidR="00A36C60" w:rsidRPr="007D386A">
              <w:rPr>
                <w:rFonts w:ascii="Times New Roman" w:eastAsia="Times New Roman" w:hAnsi="Times New Roman"/>
                <w:sz w:val="24"/>
                <w:szCs w:val="24"/>
              </w:rPr>
              <w:t>те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r w:rsidR="002F4301" w:rsidRPr="004F39ED">
              <w:rPr>
                <w:rFonts w:ascii="Times New Roman" w:eastAsia="Times New Roman" w:hAnsi="Times New Roman"/>
                <w:sz w:val="24"/>
                <w:szCs w:val="24"/>
              </w:rPr>
              <w:t>подбор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>, по които ще бъдат класирани постъпилите заявления за подпомагане</w:t>
            </w:r>
            <w:r w:rsidR="00A36C60" w:rsidRPr="004F39ED">
              <w:rPr>
                <w:rFonts w:ascii="Times New Roman" w:eastAsia="Times New Roman" w:hAnsi="Times New Roman"/>
                <w:sz w:val="24"/>
                <w:szCs w:val="24"/>
              </w:rPr>
              <w:t>, са както следва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14:paraId="17DB5156" w14:textId="77777777" w:rsidR="009D7DB8" w:rsidRDefault="009D7DB8" w:rsidP="00D65705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745"/>
              <w:gridCol w:w="2731"/>
              <w:gridCol w:w="4534"/>
              <w:gridCol w:w="978"/>
            </w:tblGrid>
            <w:tr w:rsidR="00AA3C90" w:rsidRPr="009D7DB8" w14:paraId="4E149146" w14:textId="77777777" w:rsidTr="00AA3C90">
              <w:tc>
                <w:tcPr>
                  <w:tcW w:w="415" w:type="pct"/>
                  <w:shd w:val="clear" w:color="auto" w:fill="BFBFBF" w:themeFill="background1" w:themeFillShade="BF"/>
                  <w:vAlign w:val="center"/>
                </w:tcPr>
                <w:p w14:paraId="53CC17CC" w14:textId="77777777" w:rsidR="00AA3C90" w:rsidRPr="009D7DB8" w:rsidRDefault="00AA3C90" w:rsidP="00AA3C90">
                  <w:pPr>
                    <w:ind w:left="-84"/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№</w:t>
                  </w:r>
                </w:p>
              </w:tc>
              <w:tc>
                <w:tcPr>
                  <w:tcW w:w="1519" w:type="pct"/>
                  <w:shd w:val="clear" w:color="auto" w:fill="BFBFBF" w:themeFill="background1" w:themeFillShade="BF"/>
                </w:tcPr>
                <w:p w14:paraId="57B9D8DB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Приоритет/</w:t>
                  </w:r>
                </w:p>
                <w:p w14:paraId="0FC12B0B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Критерии за подбор на заявления</w:t>
                  </w:r>
                </w:p>
              </w:tc>
              <w:tc>
                <w:tcPr>
                  <w:tcW w:w="2522" w:type="pct"/>
                  <w:shd w:val="clear" w:color="auto" w:fill="BFBFBF" w:themeFill="background1" w:themeFillShade="BF"/>
                  <w:vAlign w:val="center"/>
                </w:tcPr>
                <w:p w14:paraId="009D048A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Условие за изпълнение</w:t>
                  </w:r>
                </w:p>
              </w:tc>
              <w:tc>
                <w:tcPr>
                  <w:tcW w:w="544" w:type="pct"/>
                  <w:shd w:val="clear" w:color="auto" w:fill="BFBFBF" w:themeFill="background1" w:themeFillShade="BF"/>
                  <w:vAlign w:val="center"/>
                </w:tcPr>
                <w:p w14:paraId="22C3D6CF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Точки</w:t>
                  </w:r>
                </w:p>
              </w:tc>
            </w:tr>
            <w:tr w:rsidR="00AA3C90" w:rsidRPr="009D7DB8" w14:paraId="18F48714" w14:textId="77777777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14:paraId="06161A1D" w14:textId="77777777"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Качество на новаторския план (35 т.)</w:t>
                  </w:r>
                </w:p>
              </w:tc>
            </w:tr>
            <w:tr w:rsidR="00AA3C90" w:rsidRPr="009D7DB8" w14:paraId="510C39A2" w14:textId="77777777" w:rsidTr="00AA3C90">
              <w:trPr>
                <w:trHeight w:val="514"/>
              </w:trPr>
              <w:tc>
                <w:tcPr>
                  <w:tcW w:w="415" w:type="pct"/>
                  <w:vAlign w:val="center"/>
                </w:tcPr>
                <w:p w14:paraId="77EEDB1C" w14:textId="77777777" w:rsidR="00AA3C90" w:rsidRPr="009D7DB8" w:rsidRDefault="00AA3C90" w:rsidP="00AA3C90">
                  <w:pPr>
                    <w:ind w:left="-84" w:right="-45"/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1.1.</w:t>
                  </w:r>
                </w:p>
              </w:tc>
              <w:tc>
                <w:tcPr>
                  <w:tcW w:w="1519" w:type="pct"/>
                  <w:vMerge w:val="restart"/>
                  <w:vAlign w:val="center"/>
                </w:tcPr>
                <w:p w14:paraId="2158C100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Оценка на качеството на плана за изпълнение на  новаторския проект</w:t>
                  </w:r>
                </w:p>
                <w:p w14:paraId="64F0F257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14:paraId="0A8DEF8A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Описанието на проблема, за който ще се търси решение чрез новаторския проект, е базирано на проучване в земеделски стопанства и в конкретен период от време, и е направен извод на база наблюдения, изследвания, експерименти и/или документи, доказващи, наличието на проблема.</w:t>
                  </w:r>
                </w:p>
              </w:tc>
              <w:tc>
                <w:tcPr>
                  <w:tcW w:w="544" w:type="pct"/>
                  <w:vAlign w:val="center"/>
                </w:tcPr>
                <w:p w14:paraId="022B453F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15</w:t>
                  </w:r>
                </w:p>
              </w:tc>
            </w:tr>
            <w:tr w:rsidR="00AA3C90" w:rsidRPr="009D7DB8" w14:paraId="5258BC05" w14:textId="77777777" w:rsidTr="00AA3C90">
              <w:trPr>
                <w:trHeight w:val="514"/>
              </w:trPr>
              <w:tc>
                <w:tcPr>
                  <w:tcW w:w="415" w:type="pct"/>
                  <w:vAlign w:val="center"/>
                </w:tcPr>
                <w:p w14:paraId="5D0BDB16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1.2.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14:paraId="2AE0C6AA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14:paraId="0C324246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Реалистичност на времевия график за изпълнение на проекта – кандидатът е обосновал постигането на поставените цели в рамките на времевия график за изпълнение на проекта.  </w:t>
                  </w:r>
                </w:p>
              </w:tc>
              <w:tc>
                <w:tcPr>
                  <w:tcW w:w="544" w:type="pct"/>
                  <w:vAlign w:val="center"/>
                </w:tcPr>
                <w:p w14:paraId="7F253B16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47D1E4F8" w14:textId="77777777" w:rsidTr="00AA3C90">
              <w:trPr>
                <w:trHeight w:val="1104"/>
              </w:trPr>
              <w:tc>
                <w:tcPr>
                  <w:tcW w:w="415" w:type="pct"/>
                  <w:vAlign w:val="center"/>
                </w:tcPr>
                <w:p w14:paraId="3131DD90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1.3.</w:t>
                  </w:r>
                </w:p>
                <w:p w14:paraId="610DBDAB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Merge/>
                  <w:vAlign w:val="center"/>
                </w:tcPr>
                <w:p w14:paraId="67323996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14:paraId="0CD821FC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новаторския проект е планирана ясно формулирана цел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която е относима към повече от една от специфичните цели, адресирани в </w:t>
                  </w:r>
                  <w:hyperlink r:id="rId11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СПРЗСР 2023 – 2027 г.</w:t>
                    </w:r>
                  </w:hyperlink>
                </w:p>
              </w:tc>
              <w:tc>
                <w:tcPr>
                  <w:tcW w:w="544" w:type="pct"/>
                  <w:vAlign w:val="center"/>
                </w:tcPr>
                <w:p w14:paraId="5A9C8900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  <w:p w14:paraId="4240B7A4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</w:tr>
            <w:tr w:rsidR="00AA3C90" w:rsidRPr="009D7DB8" w14:paraId="22B8AE5E" w14:textId="77777777" w:rsidTr="00AA3C90">
              <w:trPr>
                <w:trHeight w:val="1152"/>
              </w:trPr>
              <w:tc>
                <w:tcPr>
                  <w:tcW w:w="415" w:type="pct"/>
                  <w:vAlign w:val="center"/>
                </w:tcPr>
                <w:p w14:paraId="5A49E87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4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14:paraId="606900EA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14:paraId="3754F45D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новаторския проект са предвидени ясно измерими количествени или качествени показатели за резултат от изпълнението на проекта, обвързани с преодоляване на идентифицирания проблем (пряко приложение в практиката).</w:t>
                  </w:r>
                </w:p>
              </w:tc>
              <w:tc>
                <w:tcPr>
                  <w:tcW w:w="544" w:type="pct"/>
                  <w:vAlign w:val="center"/>
                </w:tcPr>
                <w:p w14:paraId="512F6814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02A73172" w14:textId="77777777" w:rsidTr="00AA3C90">
              <w:trPr>
                <w:trHeight w:val="888"/>
              </w:trPr>
              <w:tc>
                <w:tcPr>
                  <w:tcW w:w="415" w:type="pct"/>
                  <w:vAlign w:val="center"/>
                </w:tcPr>
                <w:p w14:paraId="22062398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5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14:paraId="609030B8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14:paraId="16A9ED05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color w:val="FF0000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color w:val="000000" w:themeColor="text1"/>
                      <w:lang w:val="bg-BG" w:eastAsia="en-US"/>
                    </w:rPr>
                    <w:t>Обосновани са очакваните възможности за мултиплициране на иновативното решение към по-голям брой заинтересовани лица извън участниците в оперативната група.</w:t>
                  </w:r>
                </w:p>
              </w:tc>
              <w:tc>
                <w:tcPr>
                  <w:tcW w:w="544" w:type="pct"/>
                  <w:vAlign w:val="center"/>
                </w:tcPr>
                <w:p w14:paraId="0FF69B0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73234902" w14:textId="77777777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14:paraId="63208F38" w14:textId="77777777"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jc w:val="both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Принос и очаквано въздействие на новаторския проект във връзка със заложените цели в Стратегическия план (10 т.)</w:t>
                  </w:r>
                </w:p>
              </w:tc>
            </w:tr>
            <w:tr w:rsidR="00AA3C90" w:rsidRPr="009D7DB8" w14:paraId="40ADCA99" w14:textId="77777777" w:rsidTr="00AA3C90">
              <w:tc>
                <w:tcPr>
                  <w:tcW w:w="415" w:type="pct"/>
                  <w:vAlign w:val="center"/>
                </w:tcPr>
                <w:p w14:paraId="2BB4D7A0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2.1.</w:t>
                  </w:r>
                </w:p>
              </w:tc>
              <w:tc>
                <w:tcPr>
                  <w:tcW w:w="1519" w:type="pct"/>
                </w:tcPr>
                <w:p w14:paraId="53C0DF61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Проекти с потенциал за иновации, насочени към подобряване на качеството на селскостопанските</w:t>
                  </w:r>
                </w:p>
                <w:p w14:paraId="2946664E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продукти и/или намаляване на себестойността им, в т.ч. базирани на цифрови технологии</w:t>
                  </w:r>
                </w:p>
              </w:tc>
              <w:tc>
                <w:tcPr>
                  <w:tcW w:w="2522" w:type="pct"/>
                  <w:vAlign w:val="center"/>
                </w:tcPr>
                <w:p w14:paraId="0CCF7E8E" w14:textId="77777777" w:rsidR="00AA3C90" w:rsidRPr="009D7DB8" w:rsidRDefault="00AA3C90" w:rsidP="00A91898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Целта на проекта е свързана с повишаване на качеството на конкретен селскостопански продукт или подобряване на производствен процес или прилагане на практики за намаляване на себестойността на селскостопански продукт чрез прилагане на нов/и подход/и за намаляване на разходите за производство и реализация, в т.ч. чрез използване на цифрови технологии.</w:t>
                  </w:r>
                </w:p>
              </w:tc>
              <w:tc>
                <w:tcPr>
                  <w:tcW w:w="544" w:type="pct"/>
                  <w:vAlign w:val="center"/>
                </w:tcPr>
                <w:p w14:paraId="0F36B441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10</w:t>
                  </w:r>
                </w:p>
              </w:tc>
            </w:tr>
            <w:tr w:rsidR="00AA3C90" w:rsidRPr="009D7DB8" w14:paraId="7AE23021" w14:textId="77777777" w:rsidTr="00AA3C90">
              <w:tc>
                <w:tcPr>
                  <w:tcW w:w="415" w:type="pct"/>
                  <w:vAlign w:val="center"/>
                </w:tcPr>
                <w:p w14:paraId="66423722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2.2.</w:t>
                  </w:r>
                </w:p>
              </w:tc>
              <w:tc>
                <w:tcPr>
                  <w:tcW w:w="1519" w:type="pct"/>
                </w:tcPr>
                <w:p w14:paraId="1549EE3E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Проекти, насочени към устойчивото развитие и ефективно управление на природните ресурси като вода, почва и въздух, и/или</w:t>
                  </w:r>
                </w:p>
                <w:p w14:paraId="504580A9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свързани със защита на биологичното разнообразие,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подобряване на екосистемните</w:t>
                  </w:r>
                </w:p>
                <w:p w14:paraId="1565BFD2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услуги и опазване на местообитанията и ландшафта</w:t>
                  </w:r>
                </w:p>
              </w:tc>
              <w:tc>
                <w:tcPr>
                  <w:tcW w:w="2522" w:type="pct"/>
                  <w:vAlign w:val="center"/>
                </w:tcPr>
                <w:p w14:paraId="7B7C8865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Основната цел на проекта, подкрепена с конкретна дейност/и, е насочена към устойчивото развитие и ефективно управление на природните ресурси като вода, почва и въздух, и/или защита на биологичното разнообразие, подобряване на екосистемни</w:t>
                  </w:r>
                  <w:r w:rsidR="00A91898" w:rsidRPr="009D7DB8">
                    <w:rPr>
                      <w:rFonts w:ascii="Times New Roman" w:hAnsi="Times New Roman"/>
                      <w:lang w:val="bg-BG" w:eastAsia="en-US"/>
                    </w:rPr>
                    <w:t>те услуги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 и опазване на местообитанията и ландшафта, във връзка с идентифицираните в СПРЗСР 2023-2027 г. потребности</w:t>
                  </w:r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 към </w:t>
                  </w:r>
                  <w:hyperlink r:id="rId12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специфична цел 5</w:t>
                    </w:r>
                  </w:hyperlink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 или </w:t>
                  </w:r>
                  <w:hyperlink r:id="rId13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специфична цел 6</w:t>
                    </w:r>
                  </w:hyperlink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т.ч. чрез използване на цифрови технологии.</w:t>
                  </w:r>
                </w:p>
              </w:tc>
              <w:tc>
                <w:tcPr>
                  <w:tcW w:w="544" w:type="pct"/>
                  <w:vAlign w:val="center"/>
                </w:tcPr>
                <w:p w14:paraId="738971DD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10</w:t>
                  </w:r>
                </w:p>
              </w:tc>
            </w:tr>
            <w:tr w:rsidR="00AA3C90" w:rsidRPr="009D7DB8" w14:paraId="63D7802F" w14:textId="77777777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14:paraId="525D6423" w14:textId="77777777"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Оценка на участниците в оперативната група (32 т.)</w:t>
                  </w:r>
                </w:p>
              </w:tc>
            </w:tr>
            <w:tr w:rsidR="00AA3C90" w:rsidRPr="009D7DB8" w14:paraId="6EB035F3" w14:textId="77777777" w:rsidTr="00AA3C90">
              <w:tc>
                <w:tcPr>
                  <w:tcW w:w="415" w:type="pct"/>
                  <w:vAlign w:val="center"/>
                </w:tcPr>
                <w:p w14:paraId="5D5D735F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3.1.</w:t>
                  </w:r>
                </w:p>
              </w:tc>
              <w:tc>
                <w:tcPr>
                  <w:tcW w:w="1519" w:type="pct"/>
                  <w:vAlign w:val="center"/>
                </w:tcPr>
                <w:p w14:paraId="651FFDB8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съветник и представител на науката</w:t>
                  </w:r>
                </w:p>
              </w:tc>
              <w:tc>
                <w:tcPr>
                  <w:tcW w:w="2522" w:type="pct"/>
                  <w:vAlign w:val="center"/>
                </w:tcPr>
                <w:p w14:paraId="17555F80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като участници - консултантска организация/индивидуален съветник, с консултантски опит в сферата на селското/горско стопанство или хран</w:t>
                  </w:r>
                  <w:r w:rsidR="00A91898" w:rsidRPr="009D7DB8">
                    <w:rPr>
                      <w:rFonts w:ascii="Times New Roman" w:hAnsi="Times New Roman"/>
                      <w:lang w:val="bg-BG" w:eastAsia="en-US"/>
                    </w:rPr>
                    <w:t>ите и представител на науката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14:paraId="413D7B4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12</w:t>
                  </w:r>
                </w:p>
              </w:tc>
            </w:tr>
            <w:tr w:rsidR="00AA3C90" w:rsidRPr="009D7DB8" w14:paraId="52796CC8" w14:textId="77777777" w:rsidTr="00AA3C90">
              <w:tc>
                <w:tcPr>
                  <w:tcW w:w="415" w:type="pct"/>
                  <w:vAlign w:val="center"/>
                </w:tcPr>
                <w:p w14:paraId="7912AA94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3.2.</w:t>
                  </w:r>
                </w:p>
              </w:tc>
              <w:tc>
                <w:tcPr>
                  <w:tcW w:w="1519" w:type="pct"/>
                  <w:vAlign w:val="center"/>
                </w:tcPr>
                <w:p w14:paraId="5C26E0FB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Оперативната група включва като партньор браншова организация или развъдна организация </w:t>
                  </w:r>
                </w:p>
              </w:tc>
              <w:tc>
                <w:tcPr>
                  <w:tcW w:w="2522" w:type="pct"/>
                </w:tcPr>
                <w:p w14:paraId="5A91E8B4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развъдна организация или браншова организация за производство и преработка на селскостопански продукти, която за целите на процедурата е: юридическо лице, учредено и регистрирано по реда на Закона за кооперациите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      </w:r>
                </w:p>
              </w:tc>
              <w:tc>
                <w:tcPr>
                  <w:tcW w:w="544" w:type="pct"/>
                  <w:vAlign w:val="center"/>
                </w:tcPr>
                <w:p w14:paraId="2A993455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10</w:t>
                  </w:r>
                </w:p>
              </w:tc>
            </w:tr>
            <w:tr w:rsidR="00AA3C90" w:rsidRPr="009D7DB8" w14:paraId="656262E0" w14:textId="77777777" w:rsidTr="00AA3C90">
              <w:trPr>
                <w:trHeight w:val="2208"/>
              </w:trPr>
              <w:tc>
                <w:tcPr>
                  <w:tcW w:w="415" w:type="pct"/>
                  <w:vAlign w:val="center"/>
                </w:tcPr>
                <w:p w14:paraId="174F0E93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3.3.</w:t>
                  </w:r>
                </w:p>
                <w:p w14:paraId="4EEECFA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Align w:val="center"/>
                </w:tcPr>
                <w:p w14:paraId="3AA21B7B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най-малко двама земеделски стопани/горски стопани или призната група/организация на производители</w:t>
                  </w:r>
                </w:p>
              </w:tc>
              <w:tc>
                <w:tcPr>
                  <w:tcW w:w="2522" w:type="pct"/>
                  <w:shd w:val="clear" w:color="auto" w:fill="auto"/>
                  <w:vAlign w:val="center"/>
                </w:tcPr>
                <w:p w14:paraId="78050C48" w14:textId="77777777" w:rsidR="00AA3C90" w:rsidRPr="009D7DB8" w:rsidRDefault="00AA3C90" w:rsidP="009D7DB8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най-малко двама земеделски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или двама горски стопани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или призната от министъра на земеделието и храните група ил</w:t>
                  </w:r>
                  <w:r w:rsidR="009D7DB8">
                    <w:rPr>
                      <w:rFonts w:ascii="Times New Roman" w:hAnsi="Times New Roman"/>
                      <w:lang w:val="bg-BG" w:eastAsia="en-US"/>
                    </w:rPr>
                    <w:t>и организация на производители.</w:t>
                  </w:r>
                </w:p>
              </w:tc>
              <w:tc>
                <w:tcPr>
                  <w:tcW w:w="544" w:type="pct"/>
                  <w:shd w:val="clear" w:color="auto" w:fill="auto"/>
                  <w:vAlign w:val="center"/>
                </w:tcPr>
                <w:p w14:paraId="74B514BF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7</w:t>
                  </w:r>
                </w:p>
                <w:p w14:paraId="61E9E77C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highlight w:val="yellow"/>
                      <w:lang w:val="bg-BG" w:eastAsia="en-US"/>
                    </w:rPr>
                  </w:pPr>
                </w:p>
              </w:tc>
            </w:tr>
            <w:tr w:rsidR="00AA3C90" w:rsidRPr="009D7DB8" w14:paraId="1EA53D02" w14:textId="77777777" w:rsidTr="00AA3C90">
              <w:tc>
                <w:tcPr>
                  <w:tcW w:w="415" w:type="pct"/>
                  <w:vAlign w:val="center"/>
                </w:tcPr>
                <w:p w14:paraId="0A781B9F" w14:textId="2F8A64CA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</w:t>
                  </w:r>
                  <w:r w:rsidR="00D65885">
                    <w:rPr>
                      <w:rFonts w:ascii="Times New Roman" w:hAnsi="Times New Roman"/>
                      <w:lang w:val="bg-BG" w:eastAsia="en-US"/>
                    </w:rPr>
                    <w:t>4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Align w:val="center"/>
                </w:tcPr>
                <w:p w14:paraId="3CC859FC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е създадена чрез подкрепа по първа стъпка</w:t>
                  </w:r>
                </w:p>
              </w:tc>
              <w:tc>
                <w:tcPr>
                  <w:tcW w:w="2522" w:type="pct"/>
                </w:tcPr>
                <w:p w14:paraId="6D30ED5D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Оперативната група е създадена в резултат от сключен договор по интервенция II.Ж.1 „Подкрепа за оперативни групи в рамките на Европейското партньорство за иновации“ от Стратегически план за развитие на земеделието и селските райони на Република България за периода 2023-2027 г. и включва като участник водещ партньор по процедура „Сформиране на оперативни групи (първа стъпка)“ от СПРЗСР 2023-2027 г. </w:t>
                  </w:r>
                </w:p>
              </w:tc>
              <w:tc>
                <w:tcPr>
                  <w:tcW w:w="544" w:type="pct"/>
                  <w:vAlign w:val="center"/>
                </w:tcPr>
                <w:p w14:paraId="090EFA4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</w:t>
                  </w:r>
                </w:p>
              </w:tc>
            </w:tr>
            <w:tr w:rsidR="00AA3C90" w:rsidRPr="009D7DB8" w14:paraId="6EDE12B0" w14:textId="77777777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  <w:vAlign w:val="center"/>
                </w:tcPr>
                <w:p w14:paraId="442231D2" w14:textId="77777777"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Популяризиране на резултатите (18 т.)</w:t>
                  </w:r>
                </w:p>
              </w:tc>
            </w:tr>
            <w:tr w:rsidR="00AA3C90" w:rsidRPr="009D7DB8" w14:paraId="36F9A016" w14:textId="77777777" w:rsidTr="00AA3C90">
              <w:tc>
                <w:tcPr>
                  <w:tcW w:w="415" w:type="pct"/>
                  <w:vAlign w:val="center"/>
                </w:tcPr>
                <w:p w14:paraId="587FDC21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eastAsia="en-US"/>
                    </w:rPr>
                    <w:t>4.1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Align w:val="center"/>
                </w:tcPr>
                <w:p w14:paraId="3C2CB0EF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Представен е широко обхватен план за популяризиране на резултатите от проекта</w:t>
                  </w:r>
                </w:p>
              </w:tc>
              <w:tc>
                <w:tcPr>
                  <w:tcW w:w="2522" w:type="pct"/>
                  <w:vAlign w:val="center"/>
                </w:tcPr>
                <w:p w14:paraId="198C9D97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заявлението за подпомагане е представен комуникационен план, включващ съчетание от дигитални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социални медии, имейл маркетинг, SEO (оптимизация за търсачка), PPC (плащане за реклама в търсачките), създаване и публикуване на видеа и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)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, традиционни 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публикации в печатни издания,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ТВ и радио публикации, външна реклама – билбордове, плакати,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)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 други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присъствени събития, конференции, участие в изложения и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)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маркетингови подходи за разпространение на резултатите от проекта, които да станат достояние на по-широк кръг от заинтересовани страни, в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т.ч. уебсайт на оперативната група.</w:t>
                  </w:r>
                </w:p>
              </w:tc>
              <w:tc>
                <w:tcPr>
                  <w:tcW w:w="544" w:type="pct"/>
                  <w:vAlign w:val="center"/>
                </w:tcPr>
                <w:p w14:paraId="42865863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13</w:t>
                  </w:r>
                </w:p>
              </w:tc>
            </w:tr>
            <w:tr w:rsidR="00AA3C90" w:rsidRPr="009D7DB8" w14:paraId="5496AB5A" w14:textId="77777777" w:rsidTr="00AA3C90">
              <w:tc>
                <w:tcPr>
                  <w:tcW w:w="415" w:type="pct"/>
                  <w:vAlign w:val="center"/>
                </w:tcPr>
                <w:p w14:paraId="217F48D5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4.2.</w:t>
                  </w:r>
                </w:p>
              </w:tc>
              <w:tc>
                <w:tcPr>
                  <w:tcW w:w="1519" w:type="pct"/>
                  <w:vAlign w:val="center"/>
                </w:tcPr>
                <w:p w14:paraId="2B19C8E1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Предвидени са демонстрационни мероприятия</w:t>
                  </w:r>
                </w:p>
              </w:tc>
              <w:tc>
                <w:tcPr>
                  <w:tcW w:w="2522" w:type="pct"/>
                </w:tcPr>
                <w:p w14:paraId="173C2DBE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Предвидените дейности в заявлението за подпомагане включват най-малко 2 бр. демонстрационни мероприятия в различни етапи от изпълнение на новаторския проект.</w:t>
                  </w:r>
                </w:p>
              </w:tc>
              <w:tc>
                <w:tcPr>
                  <w:tcW w:w="544" w:type="pct"/>
                  <w:vAlign w:val="center"/>
                </w:tcPr>
                <w:p w14:paraId="7AB388D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18E7D019" w14:textId="77777777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  <w:vAlign w:val="center"/>
                </w:tcPr>
                <w:p w14:paraId="33387B88" w14:textId="77777777"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Оценка на риска (12 т.)</w:t>
                  </w:r>
                </w:p>
              </w:tc>
            </w:tr>
            <w:tr w:rsidR="00AA3C90" w:rsidRPr="009D7DB8" w14:paraId="3E7EDEFB" w14:textId="77777777" w:rsidTr="00AA3C90">
              <w:tc>
                <w:tcPr>
                  <w:tcW w:w="415" w:type="pct"/>
                  <w:vAlign w:val="center"/>
                </w:tcPr>
                <w:p w14:paraId="102711B2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5.1.</w:t>
                  </w:r>
                </w:p>
              </w:tc>
              <w:tc>
                <w:tcPr>
                  <w:tcW w:w="1519" w:type="pct"/>
                  <w:vAlign w:val="center"/>
                </w:tcPr>
                <w:p w14:paraId="45DE9F7F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Представена е ясна обосновка за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възможните предизвикателства в процеса на изпълнение на дейностите и постигане на очакваните резултати </w:t>
                  </w:r>
                </w:p>
              </w:tc>
              <w:tc>
                <w:tcPr>
                  <w:tcW w:w="2522" w:type="pct"/>
                  <w:vAlign w:val="center"/>
                </w:tcPr>
                <w:p w14:paraId="0899B012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Направен е детайлен анализ на възможните предизвикателства за изпълнение на дейностите и начините за справяне с тях (напр. при отказ на някой от членовете на оперативната група, отказ на член на екипа, проблем с доставки на материали и консумативи и др.)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. 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Направена е преценка какви са заплахите/ограниченията (напр. екологични, законодателни, географски и др.). </w:t>
                  </w:r>
                </w:p>
              </w:tc>
              <w:tc>
                <w:tcPr>
                  <w:tcW w:w="544" w:type="pct"/>
                  <w:vAlign w:val="center"/>
                </w:tcPr>
                <w:p w14:paraId="0B04495B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</w:t>
                  </w:r>
                </w:p>
              </w:tc>
            </w:tr>
            <w:tr w:rsidR="00AA3C90" w:rsidRPr="009D7DB8" w14:paraId="6483D488" w14:textId="77777777" w:rsidTr="00AA3C90">
              <w:tc>
                <w:tcPr>
                  <w:tcW w:w="415" w:type="pct"/>
                  <w:vAlign w:val="center"/>
                </w:tcPr>
                <w:p w14:paraId="243D227F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5.2.</w:t>
                  </w:r>
                </w:p>
              </w:tc>
              <w:tc>
                <w:tcPr>
                  <w:tcW w:w="1519" w:type="pct"/>
                  <w:vAlign w:val="center"/>
                </w:tcPr>
                <w:p w14:paraId="58611769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Осигурена финансова обезпеченост за реализация на проекта</w:t>
                  </w:r>
                </w:p>
              </w:tc>
              <w:tc>
                <w:tcPr>
                  <w:tcW w:w="2522" w:type="pct"/>
                  <w:vAlign w:val="center"/>
                </w:tcPr>
                <w:p w14:paraId="1FCBF69B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Кандидатът доказва наличие на финансов ресурс в размер на 10 на сто от размера на заявените разходи за първа прогнозна година от изпълнение на плана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14:paraId="6EC05B84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3CA05F50" w14:textId="77777777" w:rsidTr="00AA3C90">
              <w:trPr>
                <w:trHeight w:val="587"/>
              </w:trPr>
              <w:tc>
                <w:tcPr>
                  <w:tcW w:w="415" w:type="pct"/>
                  <w:vMerge w:val="restart"/>
                  <w:vAlign w:val="center"/>
                </w:tcPr>
                <w:p w14:paraId="307D4FBB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5.3.</w:t>
                  </w:r>
                </w:p>
              </w:tc>
              <w:tc>
                <w:tcPr>
                  <w:tcW w:w="1519" w:type="pct"/>
                  <w:vMerge w:val="restart"/>
                  <w:vAlign w:val="center"/>
                </w:tcPr>
                <w:p w14:paraId="5268891B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Опит в прилагането на проекти, свързани с иновации в сферата на селското/горското стопанство </w:t>
                  </w:r>
                </w:p>
              </w:tc>
              <w:tc>
                <w:tcPr>
                  <w:tcW w:w="2522" w:type="pct"/>
                </w:tcPr>
                <w:p w14:paraId="0F60B84A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Най-малко един от участниците в оперативната група доказва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14:paraId="0C8A9C71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</w:t>
                  </w:r>
                </w:p>
              </w:tc>
            </w:tr>
            <w:tr w:rsidR="00AA3C90" w:rsidRPr="009D7DB8" w14:paraId="25F2CC6C" w14:textId="77777777" w:rsidTr="00AA3C90">
              <w:trPr>
                <w:trHeight w:val="383"/>
              </w:trPr>
              <w:tc>
                <w:tcPr>
                  <w:tcW w:w="415" w:type="pct"/>
                  <w:vMerge/>
                  <w:vAlign w:val="center"/>
                </w:tcPr>
                <w:p w14:paraId="6F7545BE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Merge/>
                </w:tcPr>
                <w:p w14:paraId="01018762" w14:textId="77777777"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</w:tcPr>
                <w:p w14:paraId="32B369BC" w14:textId="77777777"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Най-малко двама от участниците в оперативната група доказват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14:paraId="27EC0E71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14:paraId="4AFE7C2F" w14:textId="77777777" w:rsidTr="00AA3C90">
              <w:tc>
                <w:tcPr>
                  <w:tcW w:w="4456" w:type="pct"/>
                  <w:gridSpan w:val="3"/>
                  <w:vAlign w:val="center"/>
                </w:tcPr>
                <w:p w14:paraId="6E991260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Максимален брой точки</w:t>
                  </w:r>
                </w:p>
              </w:tc>
              <w:tc>
                <w:tcPr>
                  <w:tcW w:w="544" w:type="pct"/>
                  <w:vAlign w:val="center"/>
                </w:tcPr>
                <w:p w14:paraId="0162EBD8" w14:textId="77777777"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107</w:t>
                  </w:r>
                </w:p>
              </w:tc>
            </w:tr>
          </w:tbl>
          <w:p w14:paraId="1FEEF231" w14:textId="77777777" w:rsidR="004C1877" w:rsidRPr="00F70018" w:rsidRDefault="004C1877" w:rsidP="00AA3C90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CCDFBF2" w14:textId="77777777" w:rsidR="002F2D33" w:rsidRPr="002F2D33" w:rsidRDefault="002F2D33" w:rsidP="00A5342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>. Минимален брой точки по критериите за подбор за финансиране на едно заявление за подпомагане – 35 т.</w:t>
            </w:r>
          </w:p>
          <w:p w14:paraId="75474AF4" w14:textId="77777777" w:rsidR="002F2D33" w:rsidRPr="002F2D33" w:rsidRDefault="002F2D33" w:rsidP="008C6F31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. За заявления за подпомагане, получили еднакъв общ брой точки по критериите за подбор, за които е наличен частичен разполагаем бюджет, класирането се извършва в низходящ ред съобразно получения общ брой точки по критериите за подбор, включени в следните приоритети: </w:t>
            </w:r>
          </w:p>
          <w:p w14:paraId="4B135CE3" w14:textId="77777777" w:rsidR="002F2D33" w:rsidRPr="002F2D33" w:rsidRDefault="002F2D33" w:rsidP="00EC5B79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а) Качество на новаторския план;</w:t>
            </w:r>
          </w:p>
          <w:p w14:paraId="40DF602F" w14:textId="77777777"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б) Оценка на участниците в оперативната група;</w:t>
            </w:r>
          </w:p>
          <w:p w14:paraId="5479BE3E" w14:textId="77777777"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в) Принос и очаквано въздействие на новаторския проект във връзка със заложените цели в Стратегическия план;</w:t>
            </w:r>
          </w:p>
          <w:p w14:paraId="5D844230" w14:textId="77777777"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г) Популяризиране на резултатите;</w:t>
            </w:r>
          </w:p>
          <w:p w14:paraId="35EC1A55" w14:textId="77777777"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д) Оценка на риска.</w:t>
            </w:r>
          </w:p>
          <w:p w14:paraId="3DBB0220" w14:textId="77777777" w:rsidR="002F2D33" w:rsidRPr="00C0764E" w:rsidRDefault="002F2D33" w:rsidP="00EC1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. Заявленията за подпомагане, получили еднакъв брой точки след класирането по реда на т. </w:t>
            </w:r>
            <w:r w:rsidR="000C00D8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4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 се класират по реда на чл. 12, ал. 1, т. 3 от Наредба № 4 от 25 октомври 2024 г.</w:t>
            </w:r>
          </w:p>
        </w:tc>
      </w:tr>
    </w:tbl>
    <w:p w14:paraId="1431D6F8" w14:textId="77777777" w:rsidR="00CE1ADE" w:rsidRPr="004F39ED" w:rsidRDefault="00B3053F" w:rsidP="005B1132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212561381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Изискуеми документи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, в т.ч. документи, доказващи съответствие с критерии за подбор</w:t>
      </w:r>
      <w:bookmarkEnd w:id="16"/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14:paraId="446DA165" w14:textId="77777777" w:rsidTr="00AD603B">
        <w:trPr>
          <w:trHeight w:val="841"/>
        </w:trPr>
        <w:tc>
          <w:tcPr>
            <w:tcW w:w="9209" w:type="dxa"/>
          </w:tcPr>
          <w:p w14:paraId="57109559" w14:textId="77777777" w:rsidR="00A67CC4" w:rsidRDefault="00F164F1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AD60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</w:rPr>
              <w:t xml:space="preserve">Договор за сформиране и функциониране на оперативна група (Приложение № 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95714C">
              <w:rPr>
                <w:rFonts w:ascii="Times New Roman" w:hAnsi="Times New Roman"/>
                <w:sz w:val="24"/>
                <w:szCs w:val="24"/>
              </w:rPr>
              <w:t>)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</w:rPr>
              <w:t>Представя се във формат „pdf“ или „jpg“.</w:t>
            </w:r>
          </w:p>
          <w:p w14:paraId="323E6C72" w14:textId="77777777" w:rsidR="0095714C" w:rsidRPr="00AA3C90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 Декларация от кандидата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всеки един от членовете на оперативната група (Приложение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).</w:t>
            </w:r>
            <w:r w:rsidR="00AA3C90" w:rsidRPr="0095714C">
              <w:rPr>
                <w:rFonts w:ascii="Times New Roman" w:hAnsi="Times New Roman"/>
                <w:sz w:val="24"/>
                <w:szCs w:val="24"/>
              </w:rPr>
              <w:t xml:space="preserve"> Представ</w:t>
            </w:r>
            <w:r w:rsidR="00AA3C90">
              <w:rPr>
                <w:rFonts w:ascii="Times New Roman" w:hAnsi="Times New Roman"/>
                <w:sz w:val="24"/>
                <w:szCs w:val="24"/>
              </w:rPr>
              <w:t>я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се </w:t>
            </w:r>
            <w:r w:rsidR="006A3F0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подписани и сканирани </w:t>
            </w:r>
            <w:r w:rsidR="00AA3C90">
              <w:rPr>
                <w:rFonts w:ascii="Times New Roman" w:hAnsi="Times New Roman"/>
                <w:sz w:val="24"/>
                <w:szCs w:val="24"/>
              </w:rPr>
              <w:t>във формат „pdf“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„jpg“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или електронно подписани с КЕП.</w:t>
            </w:r>
          </w:p>
          <w:p w14:paraId="1FD32795" w14:textId="77777777" w:rsidR="0095714C" w:rsidRPr="0095714C" w:rsidRDefault="0095714C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План за новаторски проект, 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5714C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docx“,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подписан с КЕП.</w:t>
            </w:r>
          </w:p>
          <w:p w14:paraId="02A254A0" w14:textId="77777777" w:rsidR="0095714C" w:rsidRPr="00573058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A91898" w:rsidRPr="00E03E3F">
              <w:rPr>
                <w:rFonts w:ascii="Times New Roman" w:hAnsi="Times New Roman"/>
                <w:sz w:val="24"/>
                <w:szCs w:val="24"/>
              </w:rPr>
              <w:t>Финансов план (</w:t>
            </w:r>
            <w:r w:rsidR="00A91898">
              <w:rPr>
                <w:rFonts w:ascii="Times New Roman" w:hAnsi="Times New Roman"/>
                <w:sz w:val="24"/>
                <w:szCs w:val="24"/>
              </w:rPr>
              <w:t xml:space="preserve">по образец 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A91898" w:rsidRPr="00E03E3F">
              <w:rPr>
                <w:rFonts w:ascii="Times New Roman" w:hAnsi="Times New Roman"/>
                <w:sz w:val="24"/>
                <w:szCs w:val="24"/>
              </w:rPr>
              <w:t>).</w:t>
            </w:r>
            <w:r w:rsidR="00A918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1898" w:rsidRPr="00F831D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Представя се във формат „</w:t>
            </w:r>
            <w:r w:rsidR="00A9189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en-US"/>
              </w:rPr>
              <w:t>xls</w:t>
            </w:r>
            <w:r w:rsidR="0057305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m</w:t>
            </w:r>
            <w:r w:rsidR="00A91898" w:rsidRPr="00F831D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“</w:t>
            </w:r>
            <w:r w:rsidR="0057305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bg-BG"/>
              </w:rPr>
              <w:t>.</w:t>
            </w:r>
          </w:p>
          <w:p w14:paraId="28953B45" w14:textId="77777777" w:rsidR="0095714C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Най-малко три съпоставими независими оферти, които съдържат наименование, ЕИК</w:t>
            </w:r>
            <w:r w:rsidR="004E1BFC">
              <w:rPr>
                <w:rFonts w:ascii="Times New Roman" w:hAnsi="Times New Roman"/>
                <w:sz w:val="24"/>
                <w:szCs w:val="24"/>
                <w:lang w:val="bg-BG"/>
              </w:rPr>
              <w:t>/ЕГН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 БУЛСТАТ и електронна поща на оферента, срока на валидност на офертата, датата на издаване на офертата, подпис на оферента, подробна техническа спецификация на активите/услугите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 цена, определена в левове/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евро с посочен ДДС (представя се за разходи по т. 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буква „г“ и „д“ и т. 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12. „Допустими разходи“, за които е приложимо). Представят се във формат „pdf“ или „jpg”, или електронно подписани с КЕП. Към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прилагат и запитвания за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представените оферти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съгласно Приложение </w:t>
            </w:r>
            <w:r w:rsidRPr="009D7DB8">
              <w:rPr>
                <w:rFonts w:ascii="Times New Roman" w:hAnsi="Times New Roman"/>
                <w:sz w:val="24"/>
                <w:szCs w:val="24"/>
                <w:lang w:val="bg-BG"/>
              </w:rPr>
              <w:t>№</w:t>
            </w:r>
            <w:r w:rsidR="00A9189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D7DB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  <w:r w:rsidR="00A9189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000F81F1" w14:textId="77777777" w:rsidR="0095714C" w:rsidRPr="00FB6378" w:rsidRDefault="00A91898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B278C5"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окументи, доказващи компетентност или опит в областта на предлаганата услуга в случаите на физически лица оференти, предоставящи услуги в частта преки неинвестиционни разходи  по т.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, буква „д“ от Раздел 12. „Допустими разходи“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Представя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във формат „pdf“ или „jpg“.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Когато този документ не е представен към датата на подаване на заявлението за подпомагане, кандидатът трябва да го представи най-късно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6DF8A3AF" w14:textId="77777777" w:rsidR="0095714C" w:rsidRPr="004F15E3" w:rsidRDefault="0095714C" w:rsidP="00A67CC4">
            <w:pPr>
              <w:spacing w:after="120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7.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водите. Представя се във формат „pdf“ или „jpg“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(Документа се изисква във връзка с дейностите включени в </w:t>
            </w:r>
            <w:r w:rsidR="00E70C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заявлението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в своята цялост. 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A9189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г.</w:t>
            </w:r>
          </w:p>
          <w:p w14:paraId="76AC660F" w14:textId="77777777" w:rsidR="0095714C" w:rsidRPr="00FB6378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8.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Документ за собственост на земя и/или друг вид недвижими имоти, обект на дейностите по проекта (представя се в случаите, когато проектът ще се изпълнява върху имот – собственост на кандидата или член на оперативната група). Представ</w:t>
            </w:r>
            <w:r w:rsidR="003271AF">
              <w:rPr>
                <w:rFonts w:ascii="Times New Roman" w:hAnsi="Times New Roman"/>
                <w:sz w:val="24"/>
                <w:szCs w:val="24"/>
                <w:lang w:val="bg-BG"/>
              </w:rPr>
              <w:t>я се във формат „pdf“ или „jpg“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 xml:space="preserve">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4ED4543F" w14:textId="77777777" w:rsidR="00D349C6" w:rsidRDefault="009A3F32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9.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Документ за ползване или предварителен договор за ползване на земя 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</w:t>
            </w:r>
            <w:r w:rsidR="00281916" w:rsidRPr="00D911C0">
              <w:rPr>
                <w:rFonts w:ascii="Times New Roman" w:hAnsi="Times New Roman"/>
                <w:sz w:val="24"/>
                <w:szCs w:val="24"/>
                <w:lang w:val="bg-BG"/>
              </w:rPr>
              <w:t>споразумени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281916" w:rsidRPr="00D911C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ползване по чл.37в и чл.37ж от ЗСПЗЗ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281916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и/или друг вид недвижими имоти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изпълнение на 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дейностите по 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проект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. Представ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я се във формат „pdf“ или „jpg“.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14:paraId="42B0C609" w14:textId="77777777" w:rsidR="001263DD" w:rsidRDefault="001263DD" w:rsidP="001263DD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10. </w:t>
            </w:r>
            <w:r w:rsidRPr="004022C5">
              <w:rPr>
                <w:rFonts w:ascii="Times New Roman" w:hAnsi="Times New Roman"/>
                <w:sz w:val="24"/>
                <w:szCs w:val="24"/>
                <w:lang w:val="bg-BG"/>
              </w:rPr>
              <w:t>Лицензи, разрешения и/или документ, удостоверяващ регистрацията за дейности  по проекта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(когато е приложимо)</w:t>
            </w:r>
            <w:r w:rsidRPr="004022C5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14:paraId="12AA163F" w14:textId="77777777" w:rsidR="009A3F32" w:rsidRDefault="009A3F32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Декларация </w:t>
            </w:r>
            <w:r w:rsidR="00C204A9">
              <w:rPr>
                <w:rFonts w:ascii="Times New Roman" w:hAnsi="Times New Roman"/>
                <w:sz w:val="24"/>
                <w:szCs w:val="24"/>
                <w:lang w:val="bg-BG"/>
              </w:rPr>
              <w:t>за обстоятелства по чл. 3 и чл. 4 от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ЗМСП за членовете на опер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ативната група по т. 2, буква „ж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“ от Раздел 7. 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>Допустими кандидати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</w:t>
            </w:r>
            <w:hyperlink r:id="rId14" w:history="1">
              <w:r w:rsidR="008562FC" w:rsidRPr="00C204A9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по образец, утвърден от министъра на икономиката и енергетиката</w:t>
              </w:r>
            </w:hyperlink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>) с подпис/и, сканирана във формат „pdf“ или „jpg“.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14:paraId="22243399" w14:textId="77777777" w:rsidR="004022C5" w:rsidRPr="00FB6378" w:rsidRDefault="004022C5" w:rsidP="004022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Инвентарна книга на всеки един от членовете на оперативната група, който ще предостави за ползване активи на оперативната група - към датата на подаване на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 с разбивка по вид на актив, дата и цена на придобиване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(ако е приложимо)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>. Представя се във формат „pdf“ или „jpg“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61DC3DB6" w14:textId="77777777" w:rsidR="004022C5" w:rsidRPr="00FB6378" w:rsidRDefault="004022C5" w:rsidP="004022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 Данъчен амортизационен план, в който е включен съответния актив от документа по т.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>. Представ</w:t>
            </w:r>
            <w:r w:rsidR="00E70C48">
              <w:rPr>
                <w:rFonts w:ascii="Times New Roman" w:hAnsi="Times New Roman"/>
                <w:sz w:val="24"/>
                <w:szCs w:val="24"/>
              </w:rPr>
              <w:t>я се във формат „pdf“</w:t>
            </w:r>
            <w:r w:rsidR="007B13F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 „jpg“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(ако е приложимо)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593853BF" w14:textId="77777777" w:rsidR="004022C5" w:rsidRDefault="00166F07" w:rsidP="009F691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>Договори, референции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др. за участниците 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ЮЛНЦ 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доказване на </w:t>
            </w:r>
            <w:r w:rsidR="009F691B" w:rsidRPr="009F691B">
              <w:rPr>
                <w:rFonts w:ascii="Times New Roman" w:hAnsi="Times New Roman"/>
                <w:sz w:val="24"/>
                <w:szCs w:val="24"/>
                <w:lang w:val="bg-BG"/>
              </w:rPr>
              <w:t>предмет на дейност в областта на селското стопанство или в областта на горското стопанство или опазване на околната среда или водите или дигиталните/цифрови технологии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Представя се във формат „pdf“ или „jpg”.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Когато този документ не е представен към датата на подаване на заявлението за подпомагане, кандидатът трябва да го представи най-късно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14:paraId="60F19E0D" w14:textId="77777777" w:rsidR="001263DD" w:rsidRDefault="001263DD" w:rsidP="006208B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63D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Pr="001263D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Документи, доказващи, че консултантската организация/индивидуалния съветник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 2, буква „з“ от Раздел 7 „Допустими кандидати“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включени в заявлението за подпомагане, извършват консултантска дейност в сферата на селското/горско стопанство или храните (ако е приложимо). Документите могат да бъдат: договори за предоставени и/или предоставяни към датата на подаване на заявлението за подпомагане консултантски услуги в сферата на селското/горско стопанство или храните и/или подписани референции от лица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получили от съответния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 консултантските услуги в сферата на селското/горско стопанство или храните и/или опис на нормативен документ/нормативни доку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менти определящи, че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партньорът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предоставя консултантски услуги в сферата на селското/горско стопанство или храните и/или опис на дейностите включени в п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редмета на дейност на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партньора, съгласно търговския регистър и/или друг официален регистър, показващи, че са включени като предмет на дейност предоставянето на консултантски услуги в сферата на селското/горско стопанство или храните</w:t>
            </w:r>
            <w:r w:rsidR="00613EF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и/или други документи с официален ха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рактер доказващи, че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партньорът е консултантската организация/индивидуал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съветник в сферата на селското/горско стопанство или храните. Представят се във формат „.pdf“, „.jpg“, „.rar“, „.7z“ или „.zip“. </w:t>
            </w:r>
            <w:r w:rsidRPr="00A91898">
              <w:rPr>
                <w:rFonts w:ascii="Times New Roman" w:hAnsi="Times New Roman"/>
                <w:sz w:val="24"/>
                <w:szCs w:val="24"/>
                <w:lang w:val="bg-BG"/>
              </w:rPr>
              <w:t>(не се представя от НССЗ)</w:t>
            </w:r>
            <w:r w:rsidR="00D66F20" w:rsidRP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(Информацията се използва 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 определяне нивото на оценка по Критерий № 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)</w:t>
            </w:r>
            <w:r w:rsidR="0057305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3049467E" w14:textId="77777777" w:rsidR="00BF2A8C" w:rsidRDefault="00BF2A8C" w:rsidP="006208B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16. 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Банково удостоверение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заверено банково извлечение, 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удостоверяващи наличието на финансови средства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сметка на Операт</w:t>
            </w:r>
            <w:r w:rsidR="004C6FC9">
              <w:rPr>
                <w:rFonts w:ascii="Times New Roman" w:hAnsi="Times New Roman"/>
                <w:sz w:val="24"/>
                <w:szCs w:val="24"/>
                <w:lang w:val="bg-BG"/>
              </w:rPr>
              <w:t>ивната група. Документът се представя с</w:t>
            </w:r>
            <w:r w:rsidR="004C6FC9" w:rsidRPr="004C6FC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дата, предхождаща датата на подаване на </w:t>
            </w:r>
            <w:r w:rsidR="004C6FC9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подпомагане.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(Информацията се използва за определяне нивото на оценка по Критерий № 5.2)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„jpg”.</w:t>
            </w:r>
          </w:p>
          <w:p w14:paraId="06222D96" w14:textId="77777777" w:rsidR="00E67D8A" w:rsidRDefault="00E67D8A" w:rsidP="001410A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17. Договори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, референции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 други релевантни документи на член/ове на оперативната група, които 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>доказва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</w:r>
            <w:r>
              <w:t xml:space="preserve">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(Информацията се използва за определяне нивото на оценка по Критерий № 5.3)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„jpg”.</w:t>
            </w:r>
          </w:p>
          <w:p w14:paraId="683B96DA" w14:textId="77777777" w:rsidR="00F379AE" w:rsidRPr="00FB6378" w:rsidRDefault="00F379AE" w:rsidP="001410A2">
            <w:pPr>
              <w:spacing w:after="12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 w:rsidRPr="008F28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18. </w:t>
            </w:r>
            <w:r w:rsidR="00DE1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Професионална </w:t>
            </w:r>
            <w:r w:rsidR="00DE175A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втобиография за лица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та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, определени като екип на членове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оперативната група, попадащи в ка</w:t>
            </w:r>
            <w:r w:rsidR="00AD5B1C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егориите по т. 2, букви „в“, „г“, „д“, „е“ и „</w:t>
            </w:r>
            <w:r w:rsidR="007B13F8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“ от Раздел 7 „Допустими кандидати“.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14:paraId="51170E59" w14:textId="77777777" w:rsidR="002F7696" w:rsidRDefault="002F7696" w:rsidP="002F7696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76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Изискуеми документи преди сключване на </w:t>
            </w:r>
            <w:r w:rsidR="007B13F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административен </w:t>
            </w:r>
            <w:r w:rsidRPr="002F76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договор</w:t>
            </w:r>
          </w:p>
          <w:p w14:paraId="7C8E4E69" w14:textId="77777777" w:rsidR="002F7696" w:rsidRDefault="002F7696" w:rsidP="002F769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2F7696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за наличие или липса на задължения към общината по седалище на одобрения кандидат и членовете на ОГ. Представя се във формат „pdf“ или „jpg”.</w:t>
            </w:r>
          </w:p>
          <w:p w14:paraId="7A63096D" w14:textId="77777777" w:rsidR="002F7696" w:rsidRPr="002F7696" w:rsidRDefault="002F7696" w:rsidP="002F769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 Резюме на одобрения новаторски проект (</w:t>
            </w:r>
            <w:r>
              <w:rPr>
                <w:rFonts w:ascii="Times New Roman" w:hAnsi="Times New Roman"/>
                <w:sz w:val="24"/>
                <w:szCs w:val="24"/>
              </w:rPr>
              <w:t>EIP-AGRI common format for Operational Groups 2023-2027)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hyperlink r:id="rId15" w:history="1">
              <w:r w:rsidRPr="002F7696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съгл</w:t>
              </w:r>
              <w:r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а</w:t>
              </w:r>
              <w:r w:rsidRPr="002F7696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сно форма на ЕПИ</w:t>
              </w:r>
            </w:hyperlink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F43F2">
              <w:rPr>
                <w:rFonts w:ascii="Times New Roman" w:hAnsi="Times New Roman"/>
                <w:sz w:val="24"/>
                <w:szCs w:val="24"/>
              </w:rPr>
              <w:t xml:space="preserve">Представя се във формат </w:t>
            </w:r>
            <w:r w:rsidRPr="002F7696">
              <w:rPr>
                <w:rFonts w:ascii="Times New Roman" w:hAnsi="Times New Roman"/>
                <w:sz w:val="24"/>
                <w:szCs w:val="24"/>
              </w:rPr>
              <w:t>„</w:t>
            </w:r>
            <w:r w:rsidRPr="002F7696">
              <w:rPr>
                <w:rFonts w:ascii="Times New Roman" w:hAnsi="Times New Roman"/>
                <w:sz w:val="24"/>
                <w:szCs w:val="24"/>
                <w:lang w:val="en-US"/>
              </w:rPr>
              <w:t>xlsx</w:t>
            </w:r>
            <w:r w:rsidRPr="002F7696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Pr="002F76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CD570D7" w14:textId="77777777" w:rsidR="00635695" w:rsidRPr="004F39ED" w:rsidRDefault="00B3053F" w:rsidP="00635695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212561382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635695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Подготовка и подаване на заявления за подпомагане</w:t>
      </w:r>
      <w:bookmarkEnd w:id="17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635695" w:rsidRPr="004F39ED" w14:paraId="4DAB549C" w14:textId="77777777" w:rsidTr="00F51D94">
        <w:tc>
          <w:tcPr>
            <w:tcW w:w="9209" w:type="dxa"/>
          </w:tcPr>
          <w:p w14:paraId="6356B714" w14:textId="77777777" w:rsidR="00635695" w:rsidRPr="00241F36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Кандидатстването се извършва единствено чрез електронно подадено заявление за подпомагане в СЕУ на интернет адрес: </w:t>
            </w:r>
            <w:hyperlink r:id="rId16" w:history="1">
              <w:r w:rsidR="00F51D94" w:rsidRPr="00FC01A6">
                <w:rPr>
                  <w:rFonts w:ascii="Times New Roman" w:hAnsi="Times New Roman"/>
                  <w:sz w:val="24"/>
                  <w:szCs w:val="24"/>
                </w:rPr>
                <w:t>https://seu.dfz.bg/</w:t>
              </w:r>
            </w:hyperlink>
            <w:r w:rsidR="00F51D94" w:rsidRPr="00F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>в срока на приема, посочен в заповедта за утвърждава</w:t>
            </w:r>
            <w:r w:rsidRPr="00FC01A6">
              <w:rPr>
                <w:rFonts w:ascii="Times New Roman" w:hAnsi="Times New Roman"/>
                <w:sz w:val="24"/>
              </w:rPr>
              <w:t>н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е на </w:t>
            </w:r>
            <w:r w:rsidR="000575CD" w:rsidRPr="00FC01A6">
              <w:rPr>
                <w:rFonts w:ascii="Times New Roman" w:hAnsi="Times New Roman"/>
                <w:sz w:val="24"/>
                <w:szCs w:val="24"/>
              </w:rPr>
              <w:t>насоките за кандидатстване. Редът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 за подаване на заявления е определен в Наредба № 105 от 22.08.2006 г. за условията и реда за създаване, поддържане, достъп и ползване на Интегрираната система за администриране и контрол. </w:t>
            </w:r>
          </w:p>
          <w:p w14:paraId="10BA6557" w14:textId="77777777" w:rsidR="000C26CE" w:rsidRPr="00241F36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FC01A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01A6" w:rsidRPr="00FC01A6">
              <w:rPr>
                <w:rFonts w:ascii="Times New Roman" w:hAnsi="Times New Roman"/>
                <w:sz w:val="24"/>
              </w:rPr>
              <w:t>Кандидатите могат да подават само едно заявление за подпомагане в рамките на срока за подаване на заявления за подпомагане</w:t>
            </w:r>
            <w:r w:rsidR="000C26CE" w:rsidRPr="00F66937">
              <w:rPr>
                <w:rFonts w:ascii="Times New Roman" w:hAnsi="Times New Roman"/>
                <w:sz w:val="24"/>
              </w:rPr>
              <w:t>.</w:t>
            </w:r>
            <w:r w:rsidR="000C26CE" w:rsidRPr="00FC01A6">
              <w:rPr>
                <w:rFonts w:ascii="Times New Roman" w:hAnsi="Times New Roman"/>
                <w:sz w:val="24"/>
              </w:rPr>
              <w:t xml:space="preserve"> </w:t>
            </w:r>
            <w:r w:rsidR="00FC01A6" w:rsidRPr="00E62B29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bg-BG"/>
              </w:rPr>
              <w:t>С подаване на всяко следващо заявление за подпомагане в срока на обявения прием предходното заявление по същия прием се счита за оттеглено</w:t>
            </w:r>
            <w:r w:rsidR="00FC01A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bg-BG"/>
              </w:rPr>
              <w:t>.</w:t>
            </w:r>
          </w:p>
          <w:p w14:paraId="59CE83BC" w14:textId="77777777" w:rsidR="00635695" w:rsidRPr="004F39ED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 Документите се прилагат към заявление</w:t>
            </w:r>
            <w:r w:rsidR="00324202" w:rsidRPr="004F39ED">
              <w:rPr>
                <w:rFonts w:ascii="Times New Roman" w:hAnsi="Times New Roman"/>
                <w:sz w:val="24"/>
                <w:szCs w:val="24"/>
              </w:rPr>
              <w:t>то</w:t>
            </w:r>
            <w:r w:rsidR="00F3419D">
              <w:rPr>
                <w:rFonts w:ascii="Times New Roman" w:hAnsi="Times New Roman"/>
                <w:sz w:val="24"/>
                <w:szCs w:val="24"/>
              </w:rPr>
              <w:t xml:space="preserve"> за подпомагане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във формат, указан в Раздел </w:t>
            </w:r>
            <w:r w:rsidR="00E3079B" w:rsidRPr="004F39ED">
              <w:rPr>
                <w:rFonts w:ascii="Times New Roman" w:hAnsi="Times New Roman"/>
                <w:sz w:val="24"/>
                <w:szCs w:val="24"/>
              </w:rPr>
              <w:t>1</w:t>
            </w:r>
            <w:r w:rsidR="00F66937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E3079B" w:rsidRPr="004F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„</w:t>
            </w:r>
            <w:r w:rsidR="00324202" w:rsidRPr="004F39ED">
              <w:rPr>
                <w:rFonts w:ascii="Times New Roman" w:hAnsi="Times New Roman"/>
                <w:sz w:val="24"/>
                <w:szCs w:val="24"/>
              </w:rPr>
              <w:t>Изискуеми документи, в т.ч. документи, доказващи съответствие с критерии за подбор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“. Оригиналите на документите се съхраняват от кандидата и се представят при поискване.</w:t>
            </w:r>
          </w:p>
          <w:p w14:paraId="62A0A7EC" w14:textId="77777777" w:rsidR="00635695" w:rsidRPr="004F39ED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 Кореспонденцията и уведомленията във връзка с оценката на заявлението за подпомагане се осъществяват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единствено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през СЕУ.</w:t>
            </w:r>
          </w:p>
          <w:p w14:paraId="485706C3" w14:textId="77777777" w:rsidR="00635695" w:rsidRPr="004F39ED" w:rsidRDefault="00635695" w:rsidP="00324202">
            <w:pPr>
              <w:spacing w:after="12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Заявлението за подпомагане може да бъде подадено и при липса и/или нередовност, но само когато те се отнасят за документи, които не променят качеството на заявлението за подпомагане и това изрично е отбелязано срещу съответния документ в раздел </w:t>
            </w:r>
            <w:r w:rsidR="00E3079B" w:rsidRPr="00F3419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2F7696">
              <w:rPr>
                <w:rFonts w:ascii="Times New Roman" w:hAnsi="Times New Roman"/>
                <w:sz w:val="24"/>
                <w:szCs w:val="24"/>
              </w:rPr>
              <w:t>6</w:t>
            </w:r>
            <w:r w:rsidR="00E3079B" w:rsidRPr="00F341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324202" w:rsidRPr="00F3419D">
              <w:rPr>
                <w:rFonts w:ascii="Times New Roman" w:hAnsi="Times New Roman"/>
                <w:sz w:val="24"/>
                <w:szCs w:val="24"/>
                <w:lang w:val="bg-BG"/>
              </w:rPr>
              <w:t>Изискуеми документи, в т.ч. документи, доказващи съответствие с критерии за подбор и документи, които следва да бъдат представени преди сключване на договор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>“.</w:t>
            </w:r>
          </w:p>
        </w:tc>
      </w:tr>
    </w:tbl>
    <w:p w14:paraId="40D9C27B" w14:textId="77777777" w:rsidR="00C5105A" w:rsidRPr="004F39ED" w:rsidRDefault="00B3053F" w:rsidP="00C5105A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212561383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0D4542" w:rsidRPr="004F39ED">
        <w:rPr>
          <w:rFonts w:ascii="Times New Roman" w:hAnsi="Times New Roman" w:cs="Times New Roman"/>
          <w:b/>
          <w:color w:val="auto"/>
          <w:sz w:val="28"/>
          <w:szCs w:val="28"/>
        </w:rPr>
        <w:t>Други специфични условия</w:t>
      </w:r>
      <w:bookmarkEnd w:id="1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05A" w:rsidRPr="004F39ED" w14:paraId="66F1E2F1" w14:textId="77777777" w:rsidTr="0018416F">
        <w:trPr>
          <w:trHeight w:val="983"/>
        </w:trPr>
        <w:tc>
          <w:tcPr>
            <w:tcW w:w="9062" w:type="dxa"/>
          </w:tcPr>
          <w:p w14:paraId="7D06D267" w14:textId="77777777" w:rsidR="00E50CEE" w:rsidRPr="00DF43F2" w:rsidRDefault="001A34C1" w:rsidP="00DF43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</w:t>
            </w:r>
            <w:r w:rsidR="005A1318" w:rsidRPr="004F39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0CEE" w:rsidRPr="004F39ED">
              <w:rPr>
                <w:rFonts w:ascii="Times New Roman" w:hAnsi="Times New Roman"/>
                <w:sz w:val="24"/>
                <w:szCs w:val="24"/>
              </w:rPr>
              <w:t xml:space="preserve">По настоящата процедура следва да е налице съответствие на </w:t>
            </w:r>
            <w:r w:rsidR="00934063" w:rsidRPr="004F39ED">
              <w:rPr>
                <w:rFonts w:ascii="Times New Roman" w:hAnsi="Times New Roman"/>
                <w:sz w:val="24"/>
                <w:szCs w:val="24"/>
              </w:rPr>
              <w:t>заявленията за подпомагане</w:t>
            </w:r>
            <w:r w:rsidR="00E50CEE" w:rsidRPr="004F39ED">
              <w:rPr>
                <w:rFonts w:ascii="Times New Roman" w:hAnsi="Times New Roman"/>
                <w:sz w:val="24"/>
                <w:szCs w:val="24"/>
              </w:rPr>
              <w:t xml:space="preserve"> със следните принципи на хоризонталните политики на ЕС:</w:t>
            </w:r>
          </w:p>
          <w:p w14:paraId="09C2C4F0" w14:textId="77777777" w:rsidR="00E50CEE" w:rsidRPr="00FF727D" w:rsidRDefault="00E50CEE" w:rsidP="001A34C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равнопоставеност и недопускане на дискриминацията - насърчаване на равните възможности за всички, включително възможностите за достъп за хора с увреждания чрез интегрирането на принципа на недискриминация. Европейският съюз насърчава равнопоставеността както между мъжете и жените, така и между представителите на различните малцинствени групи и се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Условията за кандидатстване, независимо от техния пол, етническа принадлежност или вид увреждане.</w:t>
            </w:r>
          </w:p>
          <w:p w14:paraId="1009E70F" w14:textId="77777777" w:rsidR="00D65705" w:rsidRPr="00AA5D84" w:rsidRDefault="00E50CEE" w:rsidP="00F66937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 xml:space="preserve">устойчиво развитие – подкрепа за проекти, които допринасят за опазване на околната среда, повишаване на ресурсната ефективност или смекчаване на последиците от изменение на климата и приспособяване към тях. </w:t>
            </w:r>
          </w:p>
        </w:tc>
      </w:tr>
    </w:tbl>
    <w:p w14:paraId="689C361A" w14:textId="77777777" w:rsidR="000D4542" w:rsidRPr="004F39ED" w:rsidRDefault="00B3053F" w:rsidP="000D4542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212561384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0D4542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Приложения</w:t>
      </w:r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4542" w:rsidRPr="004F39ED" w14:paraId="3071ED67" w14:textId="77777777" w:rsidTr="002D2FBD">
        <w:trPr>
          <w:trHeight w:val="699"/>
        </w:trPr>
        <w:tc>
          <w:tcPr>
            <w:tcW w:w="9062" w:type="dxa"/>
          </w:tcPr>
          <w:p w14:paraId="4BD47BA1" w14:textId="77777777" w:rsidR="0036201F" w:rsidRPr="004C002D" w:rsidRDefault="001A34C1" w:rsidP="003620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1 </w:t>
            </w:r>
            <w:r w:rsidR="00686C91" w:rsidRPr="00686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 за сформиране и функциониране на оперативна група</w:t>
            </w:r>
          </w:p>
          <w:p w14:paraId="3197B6D1" w14:textId="3C9EEEBD" w:rsidR="0036201F" w:rsidRPr="0036201F" w:rsidRDefault="0036201F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</w:t>
            </w:r>
            <w:r w:rsidR="00B94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B94D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>към ДФЕС</w:t>
            </w:r>
          </w:p>
          <w:p w14:paraId="244D35E9" w14:textId="77777777" w:rsidR="00BB4582" w:rsidRPr="004B5930" w:rsidRDefault="000D4542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6C91" w:rsidRPr="00686C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Декларация от кандидата</w:t>
            </w:r>
            <w:r w:rsidR="004B5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и членовете на ОГ</w:t>
            </w:r>
          </w:p>
          <w:p w14:paraId="4119F826" w14:textId="77777777" w:rsidR="004C002D" w:rsidRPr="004C002D" w:rsidRDefault="00BB4582" w:rsidP="004C00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4</w:t>
            </w:r>
            <w:r w:rsidR="00284A55"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6C91" w:rsidRPr="00686C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План за новаторски проект</w:t>
            </w:r>
          </w:p>
          <w:p w14:paraId="1C518EBE" w14:textId="77777777" w:rsidR="00FB62DA" w:rsidRDefault="004C002D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5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686C91" w:rsidRPr="00686C9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Финансов план</w:t>
            </w:r>
          </w:p>
          <w:p w14:paraId="7FDDC6B1" w14:textId="77777777" w:rsidR="004C002D" w:rsidRPr="00FB3890" w:rsidRDefault="004C002D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F718F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6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866F1B" w:rsidRPr="00866F1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Стандартна таблица н</w:t>
            </w:r>
            <w:r w:rsidR="00866F1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а разходите за единица продукти</w:t>
            </w:r>
          </w:p>
          <w:p w14:paraId="7A1C72ED" w14:textId="77777777" w:rsidR="004B5930" w:rsidRPr="004B5930" w:rsidRDefault="004B5930" w:rsidP="00F718F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F718F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7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Образец на запитване за оферта</w:t>
            </w:r>
          </w:p>
        </w:tc>
      </w:tr>
    </w:tbl>
    <w:p w14:paraId="1DAD5346" w14:textId="77777777" w:rsidR="00CE1ADE" w:rsidRPr="004F39ED" w:rsidRDefault="00CE1ADE" w:rsidP="00CE1ADE"/>
    <w:sectPr w:rsidR="00CE1ADE" w:rsidRPr="004F3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EFF072" w16cid:durableId="18EFF072"/>
  <w16cid:commentId w16cid:paraId="69B21D78" w16cid:durableId="69B21D78"/>
  <w16cid:commentId w16cid:paraId="6450E2D3" w16cid:durableId="6450E2D3"/>
  <w16cid:commentId w16cid:paraId="282D6E63" w16cid:durableId="282D6E63"/>
  <w16cid:commentId w16cid:paraId="19D06ED5" w16cid:durableId="19D06ED5"/>
  <w16cid:commentId w16cid:paraId="6A8FE412" w16cid:durableId="6A8FE412"/>
  <w16cid:commentId w16cid:paraId="5347EAA9" w16cid:durableId="5347EAA9"/>
  <w16cid:commentId w16cid:paraId="37B3A53A" w16cid:durableId="37B3A53A"/>
  <w16cid:commentId w16cid:paraId="5E4C680C" w16cid:durableId="5E4C680C"/>
  <w16cid:commentId w16cid:paraId="77D08FB7" w16cid:durableId="77D08FB7"/>
  <w16cid:commentId w16cid:paraId="242DD899" w16cid:durableId="242DD899"/>
  <w16cid:commentId w16cid:paraId="78B9000A" w16cid:durableId="78B9000A"/>
  <w16cid:commentId w16cid:paraId="661375E0" w16cid:durableId="661375E0"/>
  <w16cid:commentId w16cid:paraId="5772CD01" w16cid:durableId="5772CD01"/>
  <w16cid:commentId w16cid:paraId="532AAC3F" w16cid:durableId="532AAC3F"/>
  <w16cid:commentId w16cid:paraId="592408F4" w16cid:durableId="592408F4"/>
  <w16cid:commentId w16cid:paraId="17B895C4" w16cid:durableId="17B895C4"/>
  <w16cid:commentId w16cid:paraId="1B429138" w16cid:durableId="1B4291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7CD60" w14:textId="77777777" w:rsidR="004E7EDF" w:rsidRDefault="004E7EDF" w:rsidP="005B1132">
      <w:r>
        <w:separator/>
      </w:r>
    </w:p>
  </w:endnote>
  <w:endnote w:type="continuationSeparator" w:id="0">
    <w:p w14:paraId="46697EA3" w14:textId="77777777" w:rsidR="004E7EDF" w:rsidRDefault="004E7EDF" w:rsidP="005B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4542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5CB851E" w14:textId="18B39CAE" w:rsidR="00817A9E" w:rsidRPr="005C4FF4" w:rsidRDefault="00817A9E">
        <w:pPr>
          <w:pStyle w:val="Footer"/>
          <w:jc w:val="right"/>
          <w:rPr>
            <w:rFonts w:ascii="Times New Roman" w:hAnsi="Times New Roman" w:cs="Times New Roman"/>
          </w:rPr>
        </w:pPr>
        <w:r w:rsidRPr="005C4FF4">
          <w:rPr>
            <w:rFonts w:ascii="Times New Roman" w:hAnsi="Times New Roman" w:cs="Times New Roman"/>
          </w:rPr>
          <w:fldChar w:fldCharType="begin"/>
        </w:r>
        <w:r w:rsidRPr="005C4FF4">
          <w:rPr>
            <w:rFonts w:ascii="Times New Roman" w:hAnsi="Times New Roman" w:cs="Times New Roman"/>
          </w:rPr>
          <w:instrText xml:space="preserve"> PAGE   \* MERGEFORMAT </w:instrText>
        </w:r>
        <w:r w:rsidRPr="005C4FF4">
          <w:rPr>
            <w:rFonts w:ascii="Times New Roman" w:hAnsi="Times New Roman" w:cs="Times New Roman"/>
          </w:rPr>
          <w:fldChar w:fldCharType="separate"/>
        </w:r>
        <w:r w:rsidR="00E655F3">
          <w:rPr>
            <w:rFonts w:ascii="Times New Roman" w:hAnsi="Times New Roman" w:cs="Times New Roman"/>
            <w:noProof/>
          </w:rPr>
          <w:t>20</w:t>
        </w:r>
        <w:r w:rsidRPr="005C4FF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BBEA2D7" w14:textId="77777777" w:rsidR="00817A9E" w:rsidRDefault="00817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6B596" w14:textId="77777777" w:rsidR="004E7EDF" w:rsidRDefault="004E7EDF" w:rsidP="005B1132">
      <w:r>
        <w:separator/>
      </w:r>
    </w:p>
  </w:footnote>
  <w:footnote w:type="continuationSeparator" w:id="0">
    <w:p w14:paraId="1D7458F0" w14:textId="77777777" w:rsidR="004E7EDF" w:rsidRDefault="004E7EDF" w:rsidP="005B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327A" w14:textId="77777777" w:rsidR="00817A9E" w:rsidRDefault="00817A9E" w:rsidP="008C471E">
    <w:pPr>
      <w:pStyle w:val="Header"/>
      <w:tabs>
        <w:tab w:val="clear" w:pos="4536"/>
        <w:tab w:val="clear" w:pos="9072"/>
        <w:tab w:val="left" w:pos="6674"/>
      </w:tabs>
    </w:pPr>
    <w:r>
      <w:rPr>
        <w:noProof/>
        <w:lang w:val="en-GB" w:eastAsia="en-GB"/>
      </w:rPr>
      <w:drawing>
        <wp:inline distT="0" distB="0" distL="0" distR="0" wp14:anchorId="48E22161" wp14:editId="26275AFC">
          <wp:extent cx="1994173" cy="397824"/>
          <wp:effectExtent l="0" t="0" r="6350" b="0"/>
          <wp:docPr id="2" name="Picture 2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BF3723">
      <w:rPr>
        <w:rFonts w:ascii="Times New Roman" w:hAnsi="Times New Roman" w:cs="Times New Roman"/>
        <w:b/>
        <w:noProof/>
        <w:sz w:val="24"/>
        <w:szCs w:val="24"/>
        <w:lang w:val="en-GB" w:eastAsia="en-GB"/>
      </w:rPr>
      <w:drawing>
        <wp:inline distT="0" distB="0" distL="0" distR="0" wp14:anchorId="4EDA39BB" wp14:editId="24E5A004">
          <wp:extent cx="1407226" cy="32919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81E"/>
    <w:multiLevelType w:val="hybridMultilevel"/>
    <w:tmpl w:val="678CD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55A"/>
    <w:multiLevelType w:val="hybridMultilevel"/>
    <w:tmpl w:val="6B90DC1C"/>
    <w:lvl w:ilvl="0" w:tplc="CBDC4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556F0"/>
    <w:multiLevelType w:val="hybridMultilevel"/>
    <w:tmpl w:val="D716E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25323"/>
    <w:multiLevelType w:val="hybridMultilevel"/>
    <w:tmpl w:val="7D2C6378"/>
    <w:lvl w:ilvl="0" w:tplc="787EEFC8">
      <w:start w:val="1"/>
      <w:numFmt w:val="decimal"/>
      <w:lvlText w:val="%1."/>
      <w:lvlJc w:val="left"/>
      <w:pPr>
        <w:ind w:left="43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0CC2"/>
    <w:multiLevelType w:val="hybridMultilevel"/>
    <w:tmpl w:val="4104C128"/>
    <w:lvl w:ilvl="0" w:tplc="F266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87868"/>
    <w:multiLevelType w:val="hybridMultilevel"/>
    <w:tmpl w:val="0F0A50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44D14"/>
    <w:multiLevelType w:val="hybridMultilevel"/>
    <w:tmpl w:val="B7DABC68"/>
    <w:lvl w:ilvl="0" w:tplc="2DC4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A6C8F"/>
    <w:multiLevelType w:val="hybridMultilevel"/>
    <w:tmpl w:val="693A500E"/>
    <w:lvl w:ilvl="0" w:tplc="D2D4C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F2422"/>
    <w:multiLevelType w:val="hybridMultilevel"/>
    <w:tmpl w:val="AE1AB97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F753C"/>
    <w:multiLevelType w:val="hybridMultilevel"/>
    <w:tmpl w:val="D716E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52A6C"/>
    <w:multiLevelType w:val="hybridMultilevel"/>
    <w:tmpl w:val="A42CC116"/>
    <w:lvl w:ilvl="0" w:tplc="3AF8BF18">
      <w:start w:val="2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F45D8"/>
    <w:multiLevelType w:val="hybridMultilevel"/>
    <w:tmpl w:val="09508E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E1A84"/>
    <w:multiLevelType w:val="hybridMultilevel"/>
    <w:tmpl w:val="D6925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44A3E"/>
    <w:multiLevelType w:val="hybridMultilevel"/>
    <w:tmpl w:val="D7F0A992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968CA"/>
    <w:multiLevelType w:val="hybridMultilevel"/>
    <w:tmpl w:val="6F209E14"/>
    <w:lvl w:ilvl="0" w:tplc="71A8DA7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01066"/>
    <w:multiLevelType w:val="hybridMultilevel"/>
    <w:tmpl w:val="9538F3DE"/>
    <w:lvl w:ilvl="0" w:tplc="D5662DAA">
      <w:start w:val="2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90429"/>
    <w:multiLevelType w:val="hybridMultilevel"/>
    <w:tmpl w:val="801C50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75A09"/>
    <w:multiLevelType w:val="hybridMultilevel"/>
    <w:tmpl w:val="AA02A5AC"/>
    <w:lvl w:ilvl="0" w:tplc="F266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2363F"/>
    <w:multiLevelType w:val="hybridMultilevel"/>
    <w:tmpl w:val="E73EF210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C5B37"/>
    <w:multiLevelType w:val="multilevel"/>
    <w:tmpl w:val="B12C88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3BE3EAB"/>
    <w:multiLevelType w:val="hybridMultilevel"/>
    <w:tmpl w:val="1F009FFE"/>
    <w:lvl w:ilvl="0" w:tplc="4FF4BE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0E3410"/>
    <w:multiLevelType w:val="multilevel"/>
    <w:tmpl w:val="1DE0A4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1E2FCE"/>
    <w:multiLevelType w:val="hybridMultilevel"/>
    <w:tmpl w:val="7430D47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36C39"/>
    <w:multiLevelType w:val="hybridMultilevel"/>
    <w:tmpl w:val="0E52A05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E6EEE"/>
    <w:multiLevelType w:val="hybridMultilevel"/>
    <w:tmpl w:val="7D2C6378"/>
    <w:lvl w:ilvl="0" w:tplc="FFFFFFFF">
      <w:start w:val="1"/>
      <w:numFmt w:val="decimal"/>
      <w:lvlText w:val="%1."/>
      <w:lvlJc w:val="left"/>
      <w:pPr>
        <w:ind w:left="43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32373"/>
    <w:multiLevelType w:val="hybridMultilevel"/>
    <w:tmpl w:val="02C8E9EE"/>
    <w:lvl w:ilvl="0" w:tplc="18C6BF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408A6"/>
    <w:multiLevelType w:val="hybridMultilevel"/>
    <w:tmpl w:val="DF72C2E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A0B3C"/>
    <w:multiLevelType w:val="hybridMultilevel"/>
    <w:tmpl w:val="4DE81F42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B166F"/>
    <w:multiLevelType w:val="hybridMultilevel"/>
    <w:tmpl w:val="8CFC44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D27FC"/>
    <w:multiLevelType w:val="hybridMultilevel"/>
    <w:tmpl w:val="76E0EC00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8736B"/>
    <w:multiLevelType w:val="hybridMultilevel"/>
    <w:tmpl w:val="1FD0C2F0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50C81"/>
    <w:multiLevelType w:val="hybridMultilevel"/>
    <w:tmpl w:val="C128C60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4125E"/>
    <w:multiLevelType w:val="hybridMultilevel"/>
    <w:tmpl w:val="AB52F3E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4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70" w:hanging="360"/>
      </w:pPr>
    </w:lvl>
    <w:lvl w:ilvl="2" w:tplc="0402001B" w:tentative="1">
      <w:start w:val="1"/>
      <w:numFmt w:val="lowerRoman"/>
      <w:lvlText w:val="%3."/>
      <w:lvlJc w:val="right"/>
      <w:pPr>
        <w:ind w:left="1890" w:hanging="180"/>
      </w:pPr>
    </w:lvl>
    <w:lvl w:ilvl="3" w:tplc="0402000F" w:tentative="1">
      <w:start w:val="1"/>
      <w:numFmt w:val="decimal"/>
      <w:lvlText w:val="%4."/>
      <w:lvlJc w:val="left"/>
      <w:pPr>
        <w:ind w:left="2610" w:hanging="360"/>
      </w:pPr>
    </w:lvl>
    <w:lvl w:ilvl="4" w:tplc="04020019" w:tentative="1">
      <w:start w:val="1"/>
      <w:numFmt w:val="lowerLetter"/>
      <w:lvlText w:val="%5."/>
      <w:lvlJc w:val="left"/>
      <w:pPr>
        <w:ind w:left="3330" w:hanging="360"/>
      </w:pPr>
    </w:lvl>
    <w:lvl w:ilvl="5" w:tplc="0402001B" w:tentative="1">
      <w:start w:val="1"/>
      <w:numFmt w:val="lowerRoman"/>
      <w:lvlText w:val="%6."/>
      <w:lvlJc w:val="right"/>
      <w:pPr>
        <w:ind w:left="4050" w:hanging="180"/>
      </w:pPr>
    </w:lvl>
    <w:lvl w:ilvl="6" w:tplc="0402000F" w:tentative="1">
      <w:start w:val="1"/>
      <w:numFmt w:val="decimal"/>
      <w:lvlText w:val="%7."/>
      <w:lvlJc w:val="left"/>
      <w:pPr>
        <w:ind w:left="4770" w:hanging="360"/>
      </w:pPr>
    </w:lvl>
    <w:lvl w:ilvl="7" w:tplc="04020019" w:tentative="1">
      <w:start w:val="1"/>
      <w:numFmt w:val="lowerLetter"/>
      <w:lvlText w:val="%8."/>
      <w:lvlJc w:val="left"/>
      <w:pPr>
        <w:ind w:left="5490" w:hanging="360"/>
      </w:pPr>
    </w:lvl>
    <w:lvl w:ilvl="8" w:tplc="040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6C885BF6"/>
    <w:multiLevelType w:val="hybridMultilevel"/>
    <w:tmpl w:val="7018B6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4923E5"/>
    <w:multiLevelType w:val="hybridMultilevel"/>
    <w:tmpl w:val="B0727C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F7630"/>
    <w:multiLevelType w:val="hybridMultilevel"/>
    <w:tmpl w:val="B386B66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031F8"/>
    <w:multiLevelType w:val="hybridMultilevel"/>
    <w:tmpl w:val="51E2D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ED332C"/>
    <w:multiLevelType w:val="hybridMultilevel"/>
    <w:tmpl w:val="AAE2465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C2BF1"/>
    <w:multiLevelType w:val="hybridMultilevel"/>
    <w:tmpl w:val="6BCAC4B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283E8A"/>
    <w:multiLevelType w:val="hybridMultilevel"/>
    <w:tmpl w:val="B5B6B6DA"/>
    <w:lvl w:ilvl="0" w:tplc="0402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020013">
      <w:start w:val="1"/>
      <w:numFmt w:val="upperRoman"/>
      <w:lvlText w:val="%2."/>
      <w:lvlJc w:val="right"/>
      <w:pPr>
        <w:ind w:left="2869" w:hanging="360"/>
      </w:pPr>
      <w:rPr>
        <w:rFonts w:hint="default"/>
      </w:rPr>
    </w:lvl>
    <w:lvl w:ilvl="2" w:tplc="87CADB16">
      <w:numFmt w:val="bullet"/>
      <w:lvlText w:val="•"/>
      <w:lvlJc w:val="left"/>
      <w:pPr>
        <w:ind w:left="3589" w:hanging="360"/>
      </w:pPr>
      <w:rPr>
        <w:rFonts w:ascii="Times New Roman" w:eastAsia="Calibri" w:hAnsi="Times New Roman" w:cs="Times New Roman" w:hint="default"/>
      </w:rPr>
    </w:lvl>
    <w:lvl w:ilvl="3" w:tplc="787EEFC8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 w:tplc="0402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767CDE56">
      <w:start w:val="1"/>
      <w:numFmt w:val="bullet"/>
      <w:lvlText w:val="-"/>
      <w:lvlJc w:val="left"/>
      <w:pPr>
        <w:ind w:left="5749" w:hanging="360"/>
      </w:pPr>
      <w:rPr>
        <w:rFonts w:ascii="Times New Roman" w:eastAsia="Calibri" w:hAnsi="Times New Roman" w:cs="Times New Roman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4" w15:restartNumberingAfterBreak="0">
    <w:nsid w:val="76264F00"/>
    <w:multiLevelType w:val="hybridMultilevel"/>
    <w:tmpl w:val="EE024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6380D"/>
    <w:multiLevelType w:val="hybridMultilevel"/>
    <w:tmpl w:val="1E9005DE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7B7A2E"/>
    <w:multiLevelType w:val="hybridMultilevel"/>
    <w:tmpl w:val="33C6B00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34F74"/>
    <w:multiLevelType w:val="hybridMultilevel"/>
    <w:tmpl w:val="9F5E6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66636B"/>
    <w:multiLevelType w:val="hybridMultilevel"/>
    <w:tmpl w:val="EFBECCE8"/>
    <w:lvl w:ilvl="0" w:tplc="5A668F8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44502"/>
    <w:multiLevelType w:val="hybridMultilevel"/>
    <w:tmpl w:val="4BAC8C4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8"/>
  </w:num>
  <w:num w:numId="4">
    <w:abstractNumId w:val="32"/>
  </w:num>
  <w:num w:numId="5">
    <w:abstractNumId w:val="3"/>
  </w:num>
  <w:num w:numId="6">
    <w:abstractNumId w:val="45"/>
  </w:num>
  <w:num w:numId="7">
    <w:abstractNumId w:val="15"/>
  </w:num>
  <w:num w:numId="8">
    <w:abstractNumId w:val="41"/>
  </w:num>
  <w:num w:numId="9">
    <w:abstractNumId w:val="46"/>
  </w:num>
  <w:num w:numId="10">
    <w:abstractNumId w:val="21"/>
  </w:num>
  <w:num w:numId="11">
    <w:abstractNumId w:val="33"/>
  </w:num>
  <w:num w:numId="12">
    <w:abstractNumId w:val="35"/>
  </w:num>
  <w:num w:numId="13">
    <w:abstractNumId w:val="31"/>
  </w:num>
  <w:num w:numId="14">
    <w:abstractNumId w:val="48"/>
  </w:num>
  <w:num w:numId="15">
    <w:abstractNumId w:val="2"/>
  </w:num>
  <w:num w:numId="16">
    <w:abstractNumId w:val="30"/>
  </w:num>
  <w:num w:numId="17">
    <w:abstractNumId w:val="4"/>
  </w:num>
  <w:num w:numId="18">
    <w:abstractNumId w:val="16"/>
  </w:num>
  <w:num w:numId="19">
    <w:abstractNumId w:val="42"/>
  </w:num>
  <w:num w:numId="20">
    <w:abstractNumId w:val="36"/>
  </w:num>
  <w:num w:numId="21">
    <w:abstractNumId w:val="49"/>
  </w:num>
  <w:num w:numId="22">
    <w:abstractNumId w:val="11"/>
  </w:num>
  <w:num w:numId="23">
    <w:abstractNumId w:val="6"/>
  </w:num>
  <w:num w:numId="24">
    <w:abstractNumId w:val="23"/>
  </w:num>
  <w:num w:numId="25">
    <w:abstractNumId w:val="19"/>
  </w:num>
  <w:num w:numId="26">
    <w:abstractNumId w:val="13"/>
  </w:num>
  <w:num w:numId="27">
    <w:abstractNumId w:val="0"/>
  </w:num>
  <w:num w:numId="28">
    <w:abstractNumId w:val="7"/>
  </w:num>
  <w:num w:numId="29">
    <w:abstractNumId w:val="24"/>
  </w:num>
  <w:num w:numId="30">
    <w:abstractNumId w:val="26"/>
  </w:num>
  <w:num w:numId="31">
    <w:abstractNumId w:val="29"/>
  </w:num>
  <w:num w:numId="32">
    <w:abstractNumId w:val="22"/>
  </w:num>
  <w:num w:numId="33">
    <w:abstractNumId w:val="10"/>
  </w:num>
  <w:num w:numId="34">
    <w:abstractNumId w:val="39"/>
  </w:num>
  <w:num w:numId="35">
    <w:abstractNumId w:val="43"/>
  </w:num>
  <w:num w:numId="36">
    <w:abstractNumId w:val="17"/>
  </w:num>
  <w:num w:numId="37">
    <w:abstractNumId w:val="5"/>
  </w:num>
  <w:num w:numId="38">
    <w:abstractNumId w:val="27"/>
  </w:num>
  <w:num w:numId="39">
    <w:abstractNumId w:val="28"/>
  </w:num>
  <w:num w:numId="40">
    <w:abstractNumId w:val="37"/>
  </w:num>
  <w:num w:numId="41">
    <w:abstractNumId w:val="8"/>
  </w:num>
  <w:num w:numId="42">
    <w:abstractNumId w:val="40"/>
  </w:num>
  <w:num w:numId="43">
    <w:abstractNumId w:val="44"/>
  </w:num>
  <w:num w:numId="44">
    <w:abstractNumId w:val="47"/>
  </w:num>
  <w:num w:numId="45">
    <w:abstractNumId w:val="1"/>
  </w:num>
  <w:num w:numId="46">
    <w:abstractNumId w:val="34"/>
  </w:num>
  <w:num w:numId="47">
    <w:abstractNumId w:val="14"/>
  </w:num>
  <w:num w:numId="48">
    <w:abstractNumId w:val="9"/>
  </w:num>
  <w:num w:numId="49">
    <w:abstractNumId w:val="20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DE"/>
    <w:rsid w:val="000004D3"/>
    <w:rsid w:val="000008A5"/>
    <w:rsid w:val="00000990"/>
    <w:rsid w:val="000014F8"/>
    <w:rsid w:val="0000474B"/>
    <w:rsid w:val="00005772"/>
    <w:rsid w:val="00006166"/>
    <w:rsid w:val="0000732B"/>
    <w:rsid w:val="000076A8"/>
    <w:rsid w:val="00013881"/>
    <w:rsid w:val="00015019"/>
    <w:rsid w:val="000155BB"/>
    <w:rsid w:val="00015935"/>
    <w:rsid w:val="00016ECA"/>
    <w:rsid w:val="00020F57"/>
    <w:rsid w:val="000215DD"/>
    <w:rsid w:val="00022224"/>
    <w:rsid w:val="00023213"/>
    <w:rsid w:val="00024A67"/>
    <w:rsid w:val="00024D8A"/>
    <w:rsid w:val="000359EE"/>
    <w:rsid w:val="00036927"/>
    <w:rsid w:val="000402AD"/>
    <w:rsid w:val="00040C77"/>
    <w:rsid w:val="00041984"/>
    <w:rsid w:val="00042153"/>
    <w:rsid w:val="000431AE"/>
    <w:rsid w:val="00047FDD"/>
    <w:rsid w:val="0005068E"/>
    <w:rsid w:val="00050DBF"/>
    <w:rsid w:val="0005321F"/>
    <w:rsid w:val="000542C6"/>
    <w:rsid w:val="00054A89"/>
    <w:rsid w:val="000575CD"/>
    <w:rsid w:val="000600EF"/>
    <w:rsid w:val="000623FE"/>
    <w:rsid w:val="00063348"/>
    <w:rsid w:val="0006513C"/>
    <w:rsid w:val="00065273"/>
    <w:rsid w:val="00066340"/>
    <w:rsid w:val="0007333F"/>
    <w:rsid w:val="00074D38"/>
    <w:rsid w:val="00075393"/>
    <w:rsid w:val="000814E9"/>
    <w:rsid w:val="00081F7F"/>
    <w:rsid w:val="0008483F"/>
    <w:rsid w:val="00084DDF"/>
    <w:rsid w:val="00090134"/>
    <w:rsid w:val="00090822"/>
    <w:rsid w:val="00090874"/>
    <w:rsid w:val="000918EA"/>
    <w:rsid w:val="00092AB4"/>
    <w:rsid w:val="00092F03"/>
    <w:rsid w:val="0009333B"/>
    <w:rsid w:val="000935F0"/>
    <w:rsid w:val="000940EC"/>
    <w:rsid w:val="00094E51"/>
    <w:rsid w:val="000A1135"/>
    <w:rsid w:val="000A1DD6"/>
    <w:rsid w:val="000A20EB"/>
    <w:rsid w:val="000A2919"/>
    <w:rsid w:val="000A335B"/>
    <w:rsid w:val="000A3A96"/>
    <w:rsid w:val="000A3BDE"/>
    <w:rsid w:val="000A4BFB"/>
    <w:rsid w:val="000A4CB9"/>
    <w:rsid w:val="000B3612"/>
    <w:rsid w:val="000B4300"/>
    <w:rsid w:val="000B484A"/>
    <w:rsid w:val="000B60F9"/>
    <w:rsid w:val="000C00D8"/>
    <w:rsid w:val="000C1364"/>
    <w:rsid w:val="000C19E3"/>
    <w:rsid w:val="000C26CE"/>
    <w:rsid w:val="000C2D8B"/>
    <w:rsid w:val="000C50B1"/>
    <w:rsid w:val="000C5708"/>
    <w:rsid w:val="000D0A34"/>
    <w:rsid w:val="000D1F2E"/>
    <w:rsid w:val="000D236A"/>
    <w:rsid w:val="000D4542"/>
    <w:rsid w:val="000D48B6"/>
    <w:rsid w:val="000D6062"/>
    <w:rsid w:val="000D6C42"/>
    <w:rsid w:val="000D7762"/>
    <w:rsid w:val="000D7BC7"/>
    <w:rsid w:val="000E0912"/>
    <w:rsid w:val="000E1A03"/>
    <w:rsid w:val="000E33B0"/>
    <w:rsid w:val="000E53A6"/>
    <w:rsid w:val="000E5651"/>
    <w:rsid w:val="000F035E"/>
    <w:rsid w:val="000F0F81"/>
    <w:rsid w:val="000F40C7"/>
    <w:rsid w:val="001003EE"/>
    <w:rsid w:val="00100B1D"/>
    <w:rsid w:val="00102636"/>
    <w:rsid w:val="00102904"/>
    <w:rsid w:val="00105DDD"/>
    <w:rsid w:val="00106B16"/>
    <w:rsid w:val="00106B9B"/>
    <w:rsid w:val="00110271"/>
    <w:rsid w:val="0011102C"/>
    <w:rsid w:val="001111E8"/>
    <w:rsid w:val="001131FC"/>
    <w:rsid w:val="00114167"/>
    <w:rsid w:val="001145BD"/>
    <w:rsid w:val="00114C65"/>
    <w:rsid w:val="001176E4"/>
    <w:rsid w:val="00120048"/>
    <w:rsid w:val="00120AEF"/>
    <w:rsid w:val="00121985"/>
    <w:rsid w:val="0012269E"/>
    <w:rsid w:val="00124D03"/>
    <w:rsid w:val="001256AB"/>
    <w:rsid w:val="001263DD"/>
    <w:rsid w:val="00130266"/>
    <w:rsid w:val="001306F5"/>
    <w:rsid w:val="00130B24"/>
    <w:rsid w:val="0013241D"/>
    <w:rsid w:val="001327CA"/>
    <w:rsid w:val="00132A9C"/>
    <w:rsid w:val="00132F45"/>
    <w:rsid w:val="00134F53"/>
    <w:rsid w:val="0013511C"/>
    <w:rsid w:val="001358BA"/>
    <w:rsid w:val="001359C4"/>
    <w:rsid w:val="00135A2A"/>
    <w:rsid w:val="001372BE"/>
    <w:rsid w:val="00137A7F"/>
    <w:rsid w:val="00137BF6"/>
    <w:rsid w:val="001410A2"/>
    <w:rsid w:val="00143162"/>
    <w:rsid w:val="00143225"/>
    <w:rsid w:val="00145792"/>
    <w:rsid w:val="001462CA"/>
    <w:rsid w:val="001523BA"/>
    <w:rsid w:val="00155308"/>
    <w:rsid w:val="001577F7"/>
    <w:rsid w:val="0016040C"/>
    <w:rsid w:val="00161F23"/>
    <w:rsid w:val="00162BFF"/>
    <w:rsid w:val="001645BA"/>
    <w:rsid w:val="001654FC"/>
    <w:rsid w:val="00166A0E"/>
    <w:rsid w:val="00166F07"/>
    <w:rsid w:val="0017055B"/>
    <w:rsid w:val="00170C80"/>
    <w:rsid w:val="00171E58"/>
    <w:rsid w:val="00173BB8"/>
    <w:rsid w:val="00177699"/>
    <w:rsid w:val="00181A77"/>
    <w:rsid w:val="00181DC2"/>
    <w:rsid w:val="0018229F"/>
    <w:rsid w:val="0018416F"/>
    <w:rsid w:val="00185034"/>
    <w:rsid w:val="00185C40"/>
    <w:rsid w:val="0018641F"/>
    <w:rsid w:val="001864E7"/>
    <w:rsid w:val="00186569"/>
    <w:rsid w:val="001867C1"/>
    <w:rsid w:val="00186D64"/>
    <w:rsid w:val="0019316C"/>
    <w:rsid w:val="0019475A"/>
    <w:rsid w:val="00194E68"/>
    <w:rsid w:val="00195204"/>
    <w:rsid w:val="00195F6F"/>
    <w:rsid w:val="00195F8D"/>
    <w:rsid w:val="001A0A3C"/>
    <w:rsid w:val="001A34C1"/>
    <w:rsid w:val="001A40F5"/>
    <w:rsid w:val="001A70C9"/>
    <w:rsid w:val="001B1A2D"/>
    <w:rsid w:val="001B259C"/>
    <w:rsid w:val="001B3F47"/>
    <w:rsid w:val="001B5151"/>
    <w:rsid w:val="001C1EDF"/>
    <w:rsid w:val="001C43DF"/>
    <w:rsid w:val="001C4727"/>
    <w:rsid w:val="001C72D8"/>
    <w:rsid w:val="001D0034"/>
    <w:rsid w:val="001D0983"/>
    <w:rsid w:val="001D5ED1"/>
    <w:rsid w:val="001E00E6"/>
    <w:rsid w:val="001E0182"/>
    <w:rsid w:val="001E0ACB"/>
    <w:rsid w:val="001E0D14"/>
    <w:rsid w:val="001E144E"/>
    <w:rsid w:val="001E15E0"/>
    <w:rsid w:val="001E2666"/>
    <w:rsid w:val="001E34F8"/>
    <w:rsid w:val="001E3FD9"/>
    <w:rsid w:val="001E523B"/>
    <w:rsid w:val="001E7DCD"/>
    <w:rsid w:val="001F0935"/>
    <w:rsid w:val="001F48CB"/>
    <w:rsid w:val="001F5D6E"/>
    <w:rsid w:val="001F6FFC"/>
    <w:rsid w:val="001F7469"/>
    <w:rsid w:val="00200533"/>
    <w:rsid w:val="00200635"/>
    <w:rsid w:val="00200817"/>
    <w:rsid w:val="00202D68"/>
    <w:rsid w:val="002051F6"/>
    <w:rsid w:val="002053DF"/>
    <w:rsid w:val="00206096"/>
    <w:rsid w:val="002062C3"/>
    <w:rsid w:val="00207496"/>
    <w:rsid w:val="00207736"/>
    <w:rsid w:val="002138CA"/>
    <w:rsid w:val="00213D3A"/>
    <w:rsid w:val="0021527C"/>
    <w:rsid w:val="00217DED"/>
    <w:rsid w:val="00224C27"/>
    <w:rsid w:val="002250E7"/>
    <w:rsid w:val="00225144"/>
    <w:rsid w:val="0022746C"/>
    <w:rsid w:val="00227EE5"/>
    <w:rsid w:val="00231EE8"/>
    <w:rsid w:val="00232FD2"/>
    <w:rsid w:val="00234D97"/>
    <w:rsid w:val="00235A6E"/>
    <w:rsid w:val="0024014D"/>
    <w:rsid w:val="00240556"/>
    <w:rsid w:val="00240DE1"/>
    <w:rsid w:val="00241A75"/>
    <w:rsid w:val="00241F36"/>
    <w:rsid w:val="00243942"/>
    <w:rsid w:val="00245E34"/>
    <w:rsid w:val="00245FD4"/>
    <w:rsid w:val="002504BD"/>
    <w:rsid w:val="00250544"/>
    <w:rsid w:val="00250D30"/>
    <w:rsid w:val="00252D0E"/>
    <w:rsid w:val="0025317B"/>
    <w:rsid w:val="00253B7C"/>
    <w:rsid w:val="002559B9"/>
    <w:rsid w:val="00256FB6"/>
    <w:rsid w:val="002623C1"/>
    <w:rsid w:val="002623D4"/>
    <w:rsid w:val="00263878"/>
    <w:rsid w:val="002638FC"/>
    <w:rsid w:val="00267F22"/>
    <w:rsid w:val="00270376"/>
    <w:rsid w:val="002709B2"/>
    <w:rsid w:val="00272818"/>
    <w:rsid w:val="00272AA3"/>
    <w:rsid w:val="00273107"/>
    <w:rsid w:val="00273B54"/>
    <w:rsid w:val="002747B6"/>
    <w:rsid w:val="00274F88"/>
    <w:rsid w:val="00276004"/>
    <w:rsid w:val="00276ADB"/>
    <w:rsid w:val="002807BA"/>
    <w:rsid w:val="002809A0"/>
    <w:rsid w:val="00281916"/>
    <w:rsid w:val="00282267"/>
    <w:rsid w:val="00284269"/>
    <w:rsid w:val="00284A55"/>
    <w:rsid w:val="002859A7"/>
    <w:rsid w:val="00286B8C"/>
    <w:rsid w:val="00292166"/>
    <w:rsid w:val="002932EA"/>
    <w:rsid w:val="002937D0"/>
    <w:rsid w:val="00293F6D"/>
    <w:rsid w:val="002A2197"/>
    <w:rsid w:val="002A2986"/>
    <w:rsid w:val="002A5231"/>
    <w:rsid w:val="002A53FF"/>
    <w:rsid w:val="002A5E65"/>
    <w:rsid w:val="002A6971"/>
    <w:rsid w:val="002A77B1"/>
    <w:rsid w:val="002B0316"/>
    <w:rsid w:val="002B107F"/>
    <w:rsid w:val="002B31BE"/>
    <w:rsid w:val="002B3418"/>
    <w:rsid w:val="002B6786"/>
    <w:rsid w:val="002C0FB8"/>
    <w:rsid w:val="002C1E59"/>
    <w:rsid w:val="002C2571"/>
    <w:rsid w:val="002C3F38"/>
    <w:rsid w:val="002C445A"/>
    <w:rsid w:val="002C78A4"/>
    <w:rsid w:val="002C7969"/>
    <w:rsid w:val="002D0913"/>
    <w:rsid w:val="002D1778"/>
    <w:rsid w:val="002D2FBD"/>
    <w:rsid w:val="002D5CA9"/>
    <w:rsid w:val="002D6B89"/>
    <w:rsid w:val="002E168C"/>
    <w:rsid w:val="002E4632"/>
    <w:rsid w:val="002E5A1A"/>
    <w:rsid w:val="002E6A41"/>
    <w:rsid w:val="002E759A"/>
    <w:rsid w:val="002F2D33"/>
    <w:rsid w:val="002F4301"/>
    <w:rsid w:val="002F6B03"/>
    <w:rsid w:val="002F71DD"/>
    <w:rsid w:val="002F7696"/>
    <w:rsid w:val="003041B9"/>
    <w:rsid w:val="0030570D"/>
    <w:rsid w:val="003130A1"/>
    <w:rsid w:val="0031329E"/>
    <w:rsid w:val="00315488"/>
    <w:rsid w:val="003161B2"/>
    <w:rsid w:val="00317D9B"/>
    <w:rsid w:val="00322930"/>
    <w:rsid w:val="00324202"/>
    <w:rsid w:val="00324526"/>
    <w:rsid w:val="00325E5E"/>
    <w:rsid w:val="003262AF"/>
    <w:rsid w:val="003271AF"/>
    <w:rsid w:val="003319FA"/>
    <w:rsid w:val="00332945"/>
    <w:rsid w:val="00334E82"/>
    <w:rsid w:val="00336EA1"/>
    <w:rsid w:val="00336FC3"/>
    <w:rsid w:val="00343CBE"/>
    <w:rsid w:val="00343F19"/>
    <w:rsid w:val="00344FD7"/>
    <w:rsid w:val="00345192"/>
    <w:rsid w:val="00350444"/>
    <w:rsid w:val="00354CD0"/>
    <w:rsid w:val="0036201F"/>
    <w:rsid w:val="00362E29"/>
    <w:rsid w:val="00372B80"/>
    <w:rsid w:val="003742F0"/>
    <w:rsid w:val="00374B5E"/>
    <w:rsid w:val="003757C4"/>
    <w:rsid w:val="003779C3"/>
    <w:rsid w:val="0038372B"/>
    <w:rsid w:val="00383EF3"/>
    <w:rsid w:val="00386C38"/>
    <w:rsid w:val="00387287"/>
    <w:rsid w:val="00393F0C"/>
    <w:rsid w:val="00394330"/>
    <w:rsid w:val="00396B12"/>
    <w:rsid w:val="003A2F27"/>
    <w:rsid w:val="003A456F"/>
    <w:rsid w:val="003B1599"/>
    <w:rsid w:val="003B4364"/>
    <w:rsid w:val="003B4DCA"/>
    <w:rsid w:val="003B5877"/>
    <w:rsid w:val="003B6137"/>
    <w:rsid w:val="003B7C73"/>
    <w:rsid w:val="003C22E1"/>
    <w:rsid w:val="003C44C6"/>
    <w:rsid w:val="003C564D"/>
    <w:rsid w:val="003C706E"/>
    <w:rsid w:val="003D09EC"/>
    <w:rsid w:val="003D0F36"/>
    <w:rsid w:val="003D0FA8"/>
    <w:rsid w:val="003D2133"/>
    <w:rsid w:val="003D379C"/>
    <w:rsid w:val="003D3DEF"/>
    <w:rsid w:val="003D4B29"/>
    <w:rsid w:val="003D6E9A"/>
    <w:rsid w:val="003D77FA"/>
    <w:rsid w:val="003E1FE9"/>
    <w:rsid w:val="003E3DE0"/>
    <w:rsid w:val="003E5221"/>
    <w:rsid w:val="003E522D"/>
    <w:rsid w:val="003E5C13"/>
    <w:rsid w:val="003E6E84"/>
    <w:rsid w:val="003E7129"/>
    <w:rsid w:val="003E78CD"/>
    <w:rsid w:val="003F0021"/>
    <w:rsid w:val="003F08D0"/>
    <w:rsid w:val="003F0D65"/>
    <w:rsid w:val="003F22EB"/>
    <w:rsid w:val="003F4342"/>
    <w:rsid w:val="003F4562"/>
    <w:rsid w:val="003F4D42"/>
    <w:rsid w:val="003F4F5E"/>
    <w:rsid w:val="003F57ED"/>
    <w:rsid w:val="00400E2D"/>
    <w:rsid w:val="004022C5"/>
    <w:rsid w:val="004067B1"/>
    <w:rsid w:val="00410E2A"/>
    <w:rsid w:val="00410F28"/>
    <w:rsid w:val="00412CD8"/>
    <w:rsid w:val="004134B9"/>
    <w:rsid w:val="00416155"/>
    <w:rsid w:val="00420CAA"/>
    <w:rsid w:val="004247AE"/>
    <w:rsid w:val="00425730"/>
    <w:rsid w:val="0043454D"/>
    <w:rsid w:val="004351F6"/>
    <w:rsid w:val="00435351"/>
    <w:rsid w:val="00436456"/>
    <w:rsid w:val="00436FE9"/>
    <w:rsid w:val="00443AE0"/>
    <w:rsid w:val="00444EF1"/>
    <w:rsid w:val="004451F1"/>
    <w:rsid w:val="00445F6E"/>
    <w:rsid w:val="00447F03"/>
    <w:rsid w:val="00451D46"/>
    <w:rsid w:val="00452499"/>
    <w:rsid w:val="00454745"/>
    <w:rsid w:val="00457A34"/>
    <w:rsid w:val="0046257F"/>
    <w:rsid w:val="00462E80"/>
    <w:rsid w:val="0046418F"/>
    <w:rsid w:val="00464D1B"/>
    <w:rsid w:val="00466882"/>
    <w:rsid w:val="0047343C"/>
    <w:rsid w:val="00473586"/>
    <w:rsid w:val="00475A47"/>
    <w:rsid w:val="00476F24"/>
    <w:rsid w:val="00481A82"/>
    <w:rsid w:val="00482024"/>
    <w:rsid w:val="00484C76"/>
    <w:rsid w:val="00485BC6"/>
    <w:rsid w:val="00485C06"/>
    <w:rsid w:val="004866E7"/>
    <w:rsid w:val="0049162C"/>
    <w:rsid w:val="00496066"/>
    <w:rsid w:val="00496936"/>
    <w:rsid w:val="004A08BF"/>
    <w:rsid w:val="004A1CFA"/>
    <w:rsid w:val="004A1F2A"/>
    <w:rsid w:val="004A4B8D"/>
    <w:rsid w:val="004A5C3B"/>
    <w:rsid w:val="004A7AEB"/>
    <w:rsid w:val="004A7ED9"/>
    <w:rsid w:val="004B0B9E"/>
    <w:rsid w:val="004B1594"/>
    <w:rsid w:val="004B1638"/>
    <w:rsid w:val="004B28F4"/>
    <w:rsid w:val="004B39EC"/>
    <w:rsid w:val="004B49AD"/>
    <w:rsid w:val="004B5852"/>
    <w:rsid w:val="004B5930"/>
    <w:rsid w:val="004B68D6"/>
    <w:rsid w:val="004B6FF0"/>
    <w:rsid w:val="004B72A4"/>
    <w:rsid w:val="004B76D2"/>
    <w:rsid w:val="004C002D"/>
    <w:rsid w:val="004C1598"/>
    <w:rsid w:val="004C1877"/>
    <w:rsid w:val="004C1C10"/>
    <w:rsid w:val="004C2116"/>
    <w:rsid w:val="004C4254"/>
    <w:rsid w:val="004C5D40"/>
    <w:rsid w:val="004C6FC9"/>
    <w:rsid w:val="004C737C"/>
    <w:rsid w:val="004C7996"/>
    <w:rsid w:val="004D0E6B"/>
    <w:rsid w:val="004D3D66"/>
    <w:rsid w:val="004D462F"/>
    <w:rsid w:val="004D49B9"/>
    <w:rsid w:val="004D632A"/>
    <w:rsid w:val="004D75DF"/>
    <w:rsid w:val="004E0BC5"/>
    <w:rsid w:val="004E1BFC"/>
    <w:rsid w:val="004E2821"/>
    <w:rsid w:val="004E355D"/>
    <w:rsid w:val="004E606D"/>
    <w:rsid w:val="004E6F31"/>
    <w:rsid w:val="004E766F"/>
    <w:rsid w:val="004E7EDF"/>
    <w:rsid w:val="004F10CA"/>
    <w:rsid w:val="004F15E3"/>
    <w:rsid w:val="004F22C0"/>
    <w:rsid w:val="004F39ED"/>
    <w:rsid w:val="004F48DE"/>
    <w:rsid w:val="004F537D"/>
    <w:rsid w:val="004F717F"/>
    <w:rsid w:val="004F72DE"/>
    <w:rsid w:val="00502EDF"/>
    <w:rsid w:val="00504D0F"/>
    <w:rsid w:val="005062CD"/>
    <w:rsid w:val="00506412"/>
    <w:rsid w:val="00507B71"/>
    <w:rsid w:val="0051006A"/>
    <w:rsid w:val="00512A58"/>
    <w:rsid w:val="00513094"/>
    <w:rsid w:val="00513351"/>
    <w:rsid w:val="005137DB"/>
    <w:rsid w:val="00515355"/>
    <w:rsid w:val="0051595E"/>
    <w:rsid w:val="0051694B"/>
    <w:rsid w:val="00516959"/>
    <w:rsid w:val="00517352"/>
    <w:rsid w:val="00517A23"/>
    <w:rsid w:val="00520252"/>
    <w:rsid w:val="0052077B"/>
    <w:rsid w:val="00522E5C"/>
    <w:rsid w:val="00523064"/>
    <w:rsid w:val="00524371"/>
    <w:rsid w:val="00526B57"/>
    <w:rsid w:val="00527E52"/>
    <w:rsid w:val="00530E41"/>
    <w:rsid w:val="005312D3"/>
    <w:rsid w:val="005316EE"/>
    <w:rsid w:val="0053185C"/>
    <w:rsid w:val="00531DDE"/>
    <w:rsid w:val="005335C0"/>
    <w:rsid w:val="005341B3"/>
    <w:rsid w:val="00535401"/>
    <w:rsid w:val="00536B22"/>
    <w:rsid w:val="00537C69"/>
    <w:rsid w:val="00537E96"/>
    <w:rsid w:val="00540AA3"/>
    <w:rsid w:val="00541076"/>
    <w:rsid w:val="00542EFC"/>
    <w:rsid w:val="00543C49"/>
    <w:rsid w:val="00551366"/>
    <w:rsid w:val="00553AE8"/>
    <w:rsid w:val="00554860"/>
    <w:rsid w:val="0055519E"/>
    <w:rsid w:val="00556C60"/>
    <w:rsid w:val="00560904"/>
    <w:rsid w:val="00562148"/>
    <w:rsid w:val="00562A37"/>
    <w:rsid w:val="00563F65"/>
    <w:rsid w:val="00566960"/>
    <w:rsid w:val="005677C7"/>
    <w:rsid w:val="00573058"/>
    <w:rsid w:val="005732A2"/>
    <w:rsid w:val="00576E90"/>
    <w:rsid w:val="00577D09"/>
    <w:rsid w:val="005804DA"/>
    <w:rsid w:val="00580F90"/>
    <w:rsid w:val="00585D5B"/>
    <w:rsid w:val="00586508"/>
    <w:rsid w:val="00586D0F"/>
    <w:rsid w:val="00586F8C"/>
    <w:rsid w:val="00590DBB"/>
    <w:rsid w:val="0059277C"/>
    <w:rsid w:val="00594645"/>
    <w:rsid w:val="00594DC1"/>
    <w:rsid w:val="00595BAF"/>
    <w:rsid w:val="00596FC6"/>
    <w:rsid w:val="0059705C"/>
    <w:rsid w:val="005A01BE"/>
    <w:rsid w:val="005A1318"/>
    <w:rsid w:val="005A72AE"/>
    <w:rsid w:val="005B0C88"/>
    <w:rsid w:val="005B1132"/>
    <w:rsid w:val="005B2E3B"/>
    <w:rsid w:val="005B3C08"/>
    <w:rsid w:val="005B4AFC"/>
    <w:rsid w:val="005B67CC"/>
    <w:rsid w:val="005B696E"/>
    <w:rsid w:val="005B6B8A"/>
    <w:rsid w:val="005C3469"/>
    <w:rsid w:val="005C4071"/>
    <w:rsid w:val="005C426B"/>
    <w:rsid w:val="005C426E"/>
    <w:rsid w:val="005C4FF4"/>
    <w:rsid w:val="005C72DE"/>
    <w:rsid w:val="005C77FF"/>
    <w:rsid w:val="005D0429"/>
    <w:rsid w:val="005D0E5A"/>
    <w:rsid w:val="005D2E76"/>
    <w:rsid w:val="005D39D1"/>
    <w:rsid w:val="005D5067"/>
    <w:rsid w:val="005D7D4D"/>
    <w:rsid w:val="005E01B3"/>
    <w:rsid w:val="005E1189"/>
    <w:rsid w:val="005E12EF"/>
    <w:rsid w:val="005E277E"/>
    <w:rsid w:val="005E2984"/>
    <w:rsid w:val="005E58EB"/>
    <w:rsid w:val="005E72DD"/>
    <w:rsid w:val="005E760A"/>
    <w:rsid w:val="005E7AE0"/>
    <w:rsid w:val="005F163B"/>
    <w:rsid w:val="005F26CA"/>
    <w:rsid w:val="005F4401"/>
    <w:rsid w:val="005F6B44"/>
    <w:rsid w:val="00600C74"/>
    <w:rsid w:val="00600E18"/>
    <w:rsid w:val="00601E35"/>
    <w:rsid w:val="00601FD5"/>
    <w:rsid w:val="00602635"/>
    <w:rsid w:val="00603B35"/>
    <w:rsid w:val="00603E73"/>
    <w:rsid w:val="00604AE7"/>
    <w:rsid w:val="00605610"/>
    <w:rsid w:val="006061EE"/>
    <w:rsid w:val="0060636F"/>
    <w:rsid w:val="006113E1"/>
    <w:rsid w:val="0061363E"/>
    <w:rsid w:val="00613EFF"/>
    <w:rsid w:val="00615D07"/>
    <w:rsid w:val="00616B96"/>
    <w:rsid w:val="00617CCB"/>
    <w:rsid w:val="006202D1"/>
    <w:rsid w:val="006208BE"/>
    <w:rsid w:val="00620D50"/>
    <w:rsid w:val="00622989"/>
    <w:rsid w:val="0062459E"/>
    <w:rsid w:val="00626496"/>
    <w:rsid w:val="00627E59"/>
    <w:rsid w:val="006302E9"/>
    <w:rsid w:val="006318DB"/>
    <w:rsid w:val="0063297D"/>
    <w:rsid w:val="00633548"/>
    <w:rsid w:val="00635572"/>
    <w:rsid w:val="00635695"/>
    <w:rsid w:val="006401A2"/>
    <w:rsid w:val="0064041F"/>
    <w:rsid w:val="00640996"/>
    <w:rsid w:val="00641E60"/>
    <w:rsid w:val="00642D7D"/>
    <w:rsid w:val="006435AF"/>
    <w:rsid w:val="00643D3A"/>
    <w:rsid w:val="006445A8"/>
    <w:rsid w:val="00644966"/>
    <w:rsid w:val="00646103"/>
    <w:rsid w:val="00647828"/>
    <w:rsid w:val="0065021A"/>
    <w:rsid w:val="00650CCE"/>
    <w:rsid w:val="00654D70"/>
    <w:rsid w:val="00655C82"/>
    <w:rsid w:val="00660358"/>
    <w:rsid w:val="00660EE2"/>
    <w:rsid w:val="006626C3"/>
    <w:rsid w:val="00664FB0"/>
    <w:rsid w:val="00671AC4"/>
    <w:rsid w:val="006741E7"/>
    <w:rsid w:val="00674AE0"/>
    <w:rsid w:val="00681BE5"/>
    <w:rsid w:val="00681BF6"/>
    <w:rsid w:val="0068327E"/>
    <w:rsid w:val="00683484"/>
    <w:rsid w:val="00685E90"/>
    <w:rsid w:val="006866B0"/>
    <w:rsid w:val="00686C91"/>
    <w:rsid w:val="00687E0D"/>
    <w:rsid w:val="006933E1"/>
    <w:rsid w:val="00693D3D"/>
    <w:rsid w:val="00694FA0"/>
    <w:rsid w:val="00697EAC"/>
    <w:rsid w:val="006A0ED4"/>
    <w:rsid w:val="006A1AFD"/>
    <w:rsid w:val="006A1F8D"/>
    <w:rsid w:val="006A3347"/>
    <w:rsid w:val="006A3F08"/>
    <w:rsid w:val="006A4565"/>
    <w:rsid w:val="006A47DF"/>
    <w:rsid w:val="006A54AE"/>
    <w:rsid w:val="006B0247"/>
    <w:rsid w:val="006B2338"/>
    <w:rsid w:val="006B3778"/>
    <w:rsid w:val="006B399C"/>
    <w:rsid w:val="006B40D8"/>
    <w:rsid w:val="006B6005"/>
    <w:rsid w:val="006C1062"/>
    <w:rsid w:val="006C1A3F"/>
    <w:rsid w:val="006C1D14"/>
    <w:rsid w:val="006C27E9"/>
    <w:rsid w:val="006C50B1"/>
    <w:rsid w:val="006C7EBF"/>
    <w:rsid w:val="006D504A"/>
    <w:rsid w:val="006D66AF"/>
    <w:rsid w:val="006D6964"/>
    <w:rsid w:val="006D78A1"/>
    <w:rsid w:val="006E1F7B"/>
    <w:rsid w:val="006E3CD6"/>
    <w:rsid w:val="006F14FE"/>
    <w:rsid w:val="006F5268"/>
    <w:rsid w:val="007003ED"/>
    <w:rsid w:val="00703369"/>
    <w:rsid w:val="00703881"/>
    <w:rsid w:val="00703992"/>
    <w:rsid w:val="00703F7F"/>
    <w:rsid w:val="00704252"/>
    <w:rsid w:val="00706447"/>
    <w:rsid w:val="00706CB6"/>
    <w:rsid w:val="0070717A"/>
    <w:rsid w:val="00707EBF"/>
    <w:rsid w:val="00710237"/>
    <w:rsid w:val="00710EF8"/>
    <w:rsid w:val="0071251C"/>
    <w:rsid w:val="00714381"/>
    <w:rsid w:val="00716DA6"/>
    <w:rsid w:val="00722089"/>
    <w:rsid w:val="00722940"/>
    <w:rsid w:val="00724E5B"/>
    <w:rsid w:val="00724EAF"/>
    <w:rsid w:val="00725E10"/>
    <w:rsid w:val="00726684"/>
    <w:rsid w:val="007268D5"/>
    <w:rsid w:val="00726E10"/>
    <w:rsid w:val="00726E59"/>
    <w:rsid w:val="007315DC"/>
    <w:rsid w:val="007317E3"/>
    <w:rsid w:val="00731D2B"/>
    <w:rsid w:val="007351DA"/>
    <w:rsid w:val="007355D1"/>
    <w:rsid w:val="007358E9"/>
    <w:rsid w:val="00737172"/>
    <w:rsid w:val="007371EE"/>
    <w:rsid w:val="00741677"/>
    <w:rsid w:val="00742152"/>
    <w:rsid w:val="00742849"/>
    <w:rsid w:val="00742F61"/>
    <w:rsid w:val="0074385F"/>
    <w:rsid w:val="00743CA7"/>
    <w:rsid w:val="00745173"/>
    <w:rsid w:val="0074588D"/>
    <w:rsid w:val="00747819"/>
    <w:rsid w:val="00752542"/>
    <w:rsid w:val="007559A9"/>
    <w:rsid w:val="00755F22"/>
    <w:rsid w:val="0075619C"/>
    <w:rsid w:val="00761719"/>
    <w:rsid w:val="00763119"/>
    <w:rsid w:val="00763FB3"/>
    <w:rsid w:val="00764367"/>
    <w:rsid w:val="007644D5"/>
    <w:rsid w:val="00767A77"/>
    <w:rsid w:val="00767C70"/>
    <w:rsid w:val="007705A1"/>
    <w:rsid w:val="00770FAD"/>
    <w:rsid w:val="00771598"/>
    <w:rsid w:val="0077306C"/>
    <w:rsid w:val="007737C5"/>
    <w:rsid w:val="007745EC"/>
    <w:rsid w:val="007753CB"/>
    <w:rsid w:val="00775A6D"/>
    <w:rsid w:val="00776C36"/>
    <w:rsid w:val="00776EE6"/>
    <w:rsid w:val="00776F08"/>
    <w:rsid w:val="00776F78"/>
    <w:rsid w:val="00777396"/>
    <w:rsid w:val="007779E4"/>
    <w:rsid w:val="00777E80"/>
    <w:rsid w:val="007848A4"/>
    <w:rsid w:val="00784F05"/>
    <w:rsid w:val="00785498"/>
    <w:rsid w:val="0079092E"/>
    <w:rsid w:val="00791247"/>
    <w:rsid w:val="00794D85"/>
    <w:rsid w:val="00796A6D"/>
    <w:rsid w:val="007A0729"/>
    <w:rsid w:val="007A0ADC"/>
    <w:rsid w:val="007A29FD"/>
    <w:rsid w:val="007A3303"/>
    <w:rsid w:val="007A3CBA"/>
    <w:rsid w:val="007A48A8"/>
    <w:rsid w:val="007A4A6E"/>
    <w:rsid w:val="007A60E1"/>
    <w:rsid w:val="007B075E"/>
    <w:rsid w:val="007B13F8"/>
    <w:rsid w:val="007B2F0E"/>
    <w:rsid w:val="007B3892"/>
    <w:rsid w:val="007B583D"/>
    <w:rsid w:val="007B6493"/>
    <w:rsid w:val="007B74C2"/>
    <w:rsid w:val="007C21B8"/>
    <w:rsid w:val="007C2656"/>
    <w:rsid w:val="007C3EDE"/>
    <w:rsid w:val="007C77F2"/>
    <w:rsid w:val="007D14EB"/>
    <w:rsid w:val="007D25E7"/>
    <w:rsid w:val="007D34CE"/>
    <w:rsid w:val="007D386A"/>
    <w:rsid w:val="007D4255"/>
    <w:rsid w:val="007D4C52"/>
    <w:rsid w:val="007D4FB3"/>
    <w:rsid w:val="007D6771"/>
    <w:rsid w:val="007D7679"/>
    <w:rsid w:val="007E1272"/>
    <w:rsid w:val="007E1831"/>
    <w:rsid w:val="007E7915"/>
    <w:rsid w:val="007F033B"/>
    <w:rsid w:val="007F038B"/>
    <w:rsid w:val="007F1DBB"/>
    <w:rsid w:val="007F2572"/>
    <w:rsid w:val="007F354B"/>
    <w:rsid w:val="007F59C2"/>
    <w:rsid w:val="007F680D"/>
    <w:rsid w:val="00800723"/>
    <w:rsid w:val="00800DA9"/>
    <w:rsid w:val="00803F9D"/>
    <w:rsid w:val="00805258"/>
    <w:rsid w:val="008056DD"/>
    <w:rsid w:val="008057D4"/>
    <w:rsid w:val="00806C5B"/>
    <w:rsid w:val="00810B15"/>
    <w:rsid w:val="00811FE2"/>
    <w:rsid w:val="008140D9"/>
    <w:rsid w:val="008163D6"/>
    <w:rsid w:val="0081664C"/>
    <w:rsid w:val="00816A69"/>
    <w:rsid w:val="00817963"/>
    <w:rsid w:val="00817A9E"/>
    <w:rsid w:val="0082044E"/>
    <w:rsid w:val="00820D98"/>
    <w:rsid w:val="00825C78"/>
    <w:rsid w:val="008317ED"/>
    <w:rsid w:val="00837A14"/>
    <w:rsid w:val="00841423"/>
    <w:rsid w:val="00842C58"/>
    <w:rsid w:val="00843103"/>
    <w:rsid w:val="00845A4C"/>
    <w:rsid w:val="00845BC1"/>
    <w:rsid w:val="0084725F"/>
    <w:rsid w:val="008518E9"/>
    <w:rsid w:val="00851AE8"/>
    <w:rsid w:val="00853D7B"/>
    <w:rsid w:val="00853EFC"/>
    <w:rsid w:val="00855900"/>
    <w:rsid w:val="008562FC"/>
    <w:rsid w:val="00857D5F"/>
    <w:rsid w:val="008609A5"/>
    <w:rsid w:val="00861750"/>
    <w:rsid w:val="00861779"/>
    <w:rsid w:val="008622AE"/>
    <w:rsid w:val="00863609"/>
    <w:rsid w:val="00865C99"/>
    <w:rsid w:val="00866F1B"/>
    <w:rsid w:val="008758EC"/>
    <w:rsid w:val="0088388C"/>
    <w:rsid w:val="008846B0"/>
    <w:rsid w:val="00886499"/>
    <w:rsid w:val="0088776E"/>
    <w:rsid w:val="008914F4"/>
    <w:rsid w:val="008915A7"/>
    <w:rsid w:val="00891672"/>
    <w:rsid w:val="00891FA9"/>
    <w:rsid w:val="00892478"/>
    <w:rsid w:val="00893F2B"/>
    <w:rsid w:val="0089461F"/>
    <w:rsid w:val="008947A9"/>
    <w:rsid w:val="00895EF5"/>
    <w:rsid w:val="008972F0"/>
    <w:rsid w:val="008A0E88"/>
    <w:rsid w:val="008A6CB9"/>
    <w:rsid w:val="008A7162"/>
    <w:rsid w:val="008B05F8"/>
    <w:rsid w:val="008B209E"/>
    <w:rsid w:val="008B38C0"/>
    <w:rsid w:val="008B4819"/>
    <w:rsid w:val="008B4C24"/>
    <w:rsid w:val="008B4E9E"/>
    <w:rsid w:val="008B5735"/>
    <w:rsid w:val="008B59A6"/>
    <w:rsid w:val="008B795D"/>
    <w:rsid w:val="008B7C73"/>
    <w:rsid w:val="008C039F"/>
    <w:rsid w:val="008C0609"/>
    <w:rsid w:val="008C471E"/>
    <w:rsid w:val="008C6F31"/>
    <w:rsid w:val="008D3C05"/>
    <w:rsid w:val="008D467E"/>
    <w:rsid w:val="008D46FD"/>
    <w:rsid w:val="008D5061"/>
    <w:rsid w:val="008D5163"/>
    <w:rsid w:val="008D5A1F"/>
    <w:rsid w:val="008D61F4"/>
    <w:rsid w:val="008E0578"/>
    <w:rsid w:val="008E0CBA"/>
    <w:rsid w:val="008E1914"/>
    <w:rsid w:val="008E4E4F"/>
    <w:rsid w:val="008E7561"/>
    <w:rsid w:val="008E779A"/>
    <w:rsid w:val="008E79D3"/>
    <w:rsid w:val="008F11DD"/>
    <w:rsid w:val="008F2878"/>
    <w:rsid w:val="008F66C8"/>
    <w:rsid w:val="008F76DC"/>
    <w:rsid w:val="008F7732"/>
    <w:rsid w:val="00900455"/>
    <w:rsid w:val="00901370"/>
    <w:rsid w:val="0090235F"/>
    <w:rsid w:val="00904804"/>
    <w:rsid w:val="00904F31"/>
    <w:rsid w:val="00906933"/>
    <w:rsid w:val="00911C4E"/>
    <w:rsid w:val="00915C0D"/>
    <w:rsid w:val="00916C90"/>
    <w:rsid w:val="009177BD"/>
    <w:rsid w:val="00917ED4"/>
    <w:rsid w:val="009205A4"/>
    <w:rsid w:val="00922EB4"/>
    <w:rsid w:val="0092360F"/>
    <w:rsid w:val="009300B0"/>
    <w:rsid w:val="009311C7"/>
    <w:rsid w:val="00931C7C"/>
    <w:rsid w:val="00933C01"/>
    <w:rsid w:val="00934063"/>
    <w:rsid w:val="009345A2"/>
    <w:rsid w:val="00934D45"/>
    <w:rsid w:val="00934F95"/>
    <w:rsid w:val="009358E8"/>
    <w:rsid w:val="00936603"/>
    <w:rsid w:val="00936868"/>
    <w:rsid w:val="00936C1C"/>
    <w:rsid w:val="00940688"/>
    <w:rsid w:val="009443EA"/>
    <w:rsid w:val="0094581D"/>
    <w:rsid w:val="009462A0"/>
    <w:rsid w:val="0094697A"/>
    <w:rsid w:val="00950C33"/>
    <w:rsid w:val="009534FA"/>
    <w:rsid w:val="00955140"/>
    <w:rsid w:val="00955FBE"/>
    <w:rsid w:val="00956213"/>
    <w:rsid w:val="0095714C"/>
    <w:rsid w:val="009572B6"/>
    <w:rsid w:val="00957BDA"/>
    <w:rsid w:val="00962AC9"/>
    <w:rsid w:val="00964E44"/>
    <w:rsid w:val="00964FA5"/>
    <w:rsid w:val="00967CF5"/>
    <w:rsid w:val="00967EE5"/>
    <w:rsid w:val="009713E3"/>
    <w:rsid w:val="00971776"/>
    <w:rsid w:val="00971E4D"/>
    <w:rsid w:val="0097337E"/>
    <w:rsid w:val="009737F3"/>
    <w:rsid w:val="009757AD"/>
    <w:rsid w:val="0097706B"/>
    <w:rsid w:val="00977DEF"/>
    <w:rsid w:val="00980713"/>
    <w:rsid w:val="00982B8B"/>
    <w:rsid w:val="00982CF2"/>
    <w:rsid w:val="00984AA9"/>
    <w:rsid w:val="009867F9"/>
    <w:rsid w:val="009906B6"/>
    <w:rsid w:val="00993248"/>
    <w:rsid w:val="00993D61"/>
    <w:rsid w:val="009941C0"/>
    <w:rsid w:val="00994DE7"/>
    <w:rsid w:val="0099575D"/>
    <w:rsid w:val="009A0963"/>
    <w:rsid w:val="009A283E"/>
    <w:rsid w:val="009A3BA8"/>
    <w:rsid w:val="009A3F32"/>
    <w:rsid w:val="009A50BE"/>
    <w:rsid w:val="009A5130"/>
    <w:rsid w:val="009A577A"/>
    <w:rsid w:val="009A7545"/>
    <w:rsid w:val="009A7AD6"/>
    <w:rsid w:val="009B0670"/>
    <w:rsid w:val="009B143F"/>
    <w:rsid w:val="009B158C"/>
    <w:rsid w:val="009B198E"/>
    <w:rsid w:val="009B2458"/>
    <w:rsid w:val="009B53A4"/>
    <w:rsid w:val="009B5C63"/>
    <w:rsid w:val="009B6324"/>
    <w:rsid w:val="009B6778"/>
    <w:rsid w:val="009B6D59"/>
    <w:rsid w:val="009B7233"/>
    <w:rsid w:val="009B7860"/>
    <w:rsid w:val="009C03EF"/>
    <w:rsid w:val="009C1E96"/>
    <w:rsid w:val="009C21CC"/>
    <w:rsid w:val="009C273C"/>
    <w:rsid w:val="009C310D"/>
    <w:rsid w:val="009C3933"/>
    <w:rsid w:val="009C3D12"/>
    <w:rsid w:val="009C43CE"/>
    <w:rsid w:val="009C4B6A"/>
    <w:rsid w:val="009C5258"/>
    <w:rsid w:val="009C5FA3"/>
    <w:rsid w:val="009C62DE"/>
    <w:rsid w:val="009C66E4"/>
    <w:rsid w:val="009C75F5"/>
    <w:rsid w:val="009D2275"/>
    <w:rsid w:val="009D3865"/>
    <w:rsid w:val="009D3E6E"/>
    <w:rsid w:val="009D49AB"/>
    <w:rsid w:val="009D4EAD"/>
    <w:rsid w:val="009D5A74"/>
    <w:rsid w:val="009D772E"/>
    <w:rsid w:val="009D7DB8"/>
    <w:rsid w:val="009E04B5"/>
    <w:rsid w:val="009E0B9F"/>
    <w:rsid w:val="009E0C66"/>
    <w:rsid w:val="009E1E1B"/>
    <w:rsid w:val="009E28C5"/>
    <w:rsid w:val="009E4036"/>
    <w:rsid w:val="009E4392"/>
    <w:rsid w:val="009E730A"/>
    <w:rsid w:val="009E73A8"/>
    <w:rsid w:val="009F1163"/>
    <w:rsid w:val="009F3B77"/>
    <w:rsid w:val="009F5AE7"/>
    <w:rsid w:val="009F691B"/>
    <w:rsid w:val="009F6928"/>
    <w:rsid w:val="009F7FC3"/>
    <w:rsid w:val="00A020C0"/>
    <w:rsid w:val="00A0484F"/>
    <w:rsid w:val="00A05605"/>
    <w:rsid w:val="00A078E1"/>
    <w:rsid w:val="00A07F83"/>
    <w:rsid w:val="00A1100C"/>
    <w:rsid w:val="00A125B9"/>
    <w:rsid w:val="00A12F7E"/>
    <w:rsid w:val="00A13531"/>
    <w:rsid w:val="00A15195"/>
    <w:rsid w:val="00A15EAF"/>
    <w:rsid w:val="00A2041C"/>
    <w:rsid w:val="00A2194D"/>
    <w:rsid w:val="00A22C74"/>
    <w:rsid w:val="00A23930"/>
    <w:rsid w:val="00A24BF1"/>
    <w:rsid w:val="00A251BF"/>
    <w:rsid w:val="00A25A3E"/>
    <w:rsid w:val="00A2636B"/>
    <w:rsid w:val="00A270EF"/>
    <w:rsid w:val="00A30E30"/>
    <w:rsid w:val="00A33174"/>
    <w:rsid w:val="00A335D7"/>
    <w:rsid w:val="00A3476E"/>
    <w:rsid w:val="00A34AA3"/>
    <w:rsid w:val="00A36C60"/>
    <w:rsid w:val="00A37748"/>
    <w:rsid w:val="00A46352"/>
    <w:rsid w:val="00A463C2"/>
    <w:rsid w:val="00A46D8C"/>
    <w:rsid w:val="00A47795"/>
    <w:rsid w:val="00A47B9F"/>
    <w:rsid w:val="00A5342D"/>
    <w:rsid w:val="00A54A65"/>
    <w:rsid w:val="00A54FC2"/>
    <w:rsid w:val="00A55244"/>
    <w:rsid w:val="00A55ADB"/>
    <w:rsid w:val="00A61A66"/>
    <w:rsid w:val="00A61A7E"/>
    <w:rsid w:val="00A62637"/>
    <w:rsid w:val="00A62791"/>
    <w:rsid w:val="00A63B98"/>
    <w:rsid w:val="00A64B25"/>
    <w:rsid w:val="00A677E6"/>
    <w:rsid w:val="00A67CC4"/>
    <w:rsid w:val="00A70822"/>
    <w:rsid w:val="00A74086"/>
    <w:rsid w:val="00A74E87"/>
    <w:rsid w:val="00A75156"/>
    <w:rsid w:val="00A80C68"/>
    <w:rsid w:val="00A81F45"/>
    <w:rsid w:val="00A8261B"/>
    <w:rsid w:val="00A82B27"/>
    <w:rsid w:val="00A837CA"/>
    <w:rsid w:val="00A83ABF"/>
    <w:rsid w:val="00A83E5B"/>
    <w:rsid w:val="00A84568"/>
    <w:rsid w:val="00A8501C"/>
    <w:rsid w:val="00A8683C"/>
    <w:rsid w:val="00A86EB2"/>
    <w:rsid w:val="00A871B2"/>
    <w:rsid w:val="00A91898"/>
    <w:rsid w:val="00A921A4"/>
    <w:rsid w:val="00A92A44"/>
    <w:rsid w:val="00A92D90"/>
    <w:rsid w:val="00A93E60"/>
    <w:rsid w:val="00A96393"/>
    <w:rsid w:val="00A970FF"/>
    <w:rsid w:val="00A9716C"/>
    <w:rsid w:val="00A97A4F"/>
    <w:rsid w:val="00AA19BD"/>
    <w:rsid w:val="00AA28D8"/>
    <w:rsid w:val="00AA2A2F"/>
    <w:rsid w:val="00AA3C90"/>
    <w:rsid w:val="00AA49B6"/>
    <w:rsid w:val="00AA5D84"/>
    <w:rsid w:val="00AB1F17"/>
    <w:rsid w:val="00AB22B4"/>
    <w:rsid w:val="00AB3F6E"/>
    <w:rsid w:val="00AB3FFA"/>
    <w:rsid w:val="00AB65E7"/>
    <w:rsid w:val="00AB662C"/>
    <w:rsid w:val="00AB6BCC"/>
    <w:rsid w:val="00AB77CD"/>
    <w:rsid w:val="00AB798E"/>
    <w:rsid w:val="00AC0958"/>
    <w:rsid w:val="00AC3229"/>
    <w:rsid w:val="00AC3906"/>
    <w:rsid w:val="00AC4A2C"/>
    <w:rsid w:val="00AD32D9"/>
    <w:rsid w:val="00AD4953"/>
    <w:rsid w:val="00AD5B1C"/>
    <w:rsid w:val="00AD603B"/>
    <w:rsid w:val="00AD6B0C"/>
    <w:rsid w:val="00AE0C9D"/>
    <w:rsid w:val="00AE278A"/>
    <w:rsid w:val="00AE409B"/>
    <w:rsid w:val="00AE7813"/>
    <w:rsid w:val="00AF21E3"/>
    <w:rsid w:val="00AF29EE"/>
    <w:rsid w:val="00AF487F"/>
    <w:rsid w:val="00AF49E8"/>
    <w:rsid w:val="00AF4E56"/>
    <w:rsid w:val="00AF5BD2"/>
    <w:rsid w:val="00AF7BD0"/>
    <w:rsid w:val="00B02629"/>
    <w:rsid w:val="00B04DD9"/>
    <w:rsid w:val="00B05924"/>
    <w:rsid w:val="00B0603F"/>
    <w:rsid w:val="00B074F2"/>
    <w:rsid w:val="00B07608"/>
    <w:rsid w:val="00B07B9B"/>
    <w:rsid w:val="00B10325"/>
    <w:rsid w:val="00B10751"/>
    <w:rsid w:val="00B10D20"/>
    <w:rsid w:val="00B128F6"/>
    <w:rsid w:val="00B1425B"/>
    <w:rsid w:val="00B14729"/>
    <w:rsid w:val="00B14A4D"/>
    <w:rsid w:val="00B14B56"/>
    <w:rsid w:val="00B15090"/>
    <w:rsid w:val="00B1596A"/>
    <w:rsid w:val="00B1745E"/>
    <w:rsid w:val="00B278C5"/>
    <w:rsid w:val="00B3053F"/>
    <w:rsid w:val="00B31250"/>
    <w:rsid w:val="00B34B54"/>
    <w:rsid w:val="00B34DB0"/>
    <w:rsid w:val="00B3522B"/>
    <w:rsid w:val="00B358DD"/>
    <w:rsid w:val="00B43F26"/>
    <w:rsid w:val="00B44B74"/>
    <w:rsid w:val="00B45FD0"/>
    <w:rsid w:val="00B46109"/>
    <w:rsid w:val="00B474E7"/>
    <w:rsid w:val="00B51FFC"/>
    <w:rsid w:val="00B529DA"/>
    <w:rsid w:val="00B52F42"/>
    <w:rsid w:val="00B533D3"/>
    <w:rsid w:val="00B537E3"/>
    <w:rsid w:val="00B542D3"/>
    <w:rsid w:val="00B5695D"/>
    <w:rsid w:val="00B576AC"/>
    <w:rsid w:val="00B61B10"/>
    <w:rsid w:val="00B61C70"/>
    <w:rsid w:val="00B62034"/>
    <w:rsid w:val="00B631E9"/>
    <w:rsid w:val="00B6472A"/>
    <w:rsid w:val="00B657A9"/>
    <w:rsid w:val="00B739CF"/>
    <w:rsid w:val="00B76D49"/>
    <w:rsid w:val="00B77070"/>
    <w:rsid w:val="00B80F95"/>
    <w:rsid w:val="00B81598"/>
    <w:rsid w:val="00B81749"/>
    <w:rsid w:val="00B81C5B"/>
    <w:rsid w:val="00B81C7F"/>
    <w:rsid w:val="00B83918"/>
    <w:rsid w:val="00B920A3"/>
    <w:rsid w:val="00B9305F"/>
    <w:rsid w:val="00B94BE3"/>
    <w:rsid w:val="00B94D33"/>
    <w:rsid w:val="00B966E5"/>
    <w:rsid w:val="00B970B2"/>
    <w:rsid w:val="00BA0DC1"/>
    <w:rsid w:val="00BA1DC8"/>
    <w:rsid w:val="00BA5880"/>
    <w:rsid w:val="00BB005D"/>
    <w:rsid w:val="00BB4582"/>
    <w:rsid w:val="00BB4815"/>
    <w:rsid w:val="00BB5C80"/>
    <w:rsid w:val="00BB7576"/>
    <w:rsid w:val="00BC1029"/>
    <w:rsid w:val="00BC1062"/>
    <w:rsid w:val="00BC1C20"/>
    <w:rsid w:val="00BC233D"/>
    <w:rsid w:val="00BC2CDB"/>
    <w:rsid w:val="00BC44E1"/>
    <w:rsid w:val="00BC4A9C"/>
    <w:rsid w:val="00BC6012"/>
    <w:rsid w:val="00BC7B31"/>
    <w:rsid w:val="00BD001A"/>
    <w:rsid w:val="00BD2510"/>
    <w:rsid w:val="00BD25D5"/>
    <w:rsid w:val="00BD4029"/>
    <w:rsid w:val="00BD41B4"/>
    <w:rsid w:val="00BD455F"/>
    <w:rsid w:val="00BE1F6E"/>
    <w:rsid w:val="00BE431F"/>
    <w:rsid w:val="00BE489D"/>
    <w:rsid w:val="00BE6E49"/>
    <w:rsid w:val="00BE73B2"/>
    <w:rsid w:val="00BF09FA"/>
    <w:rsid w:val="00BF1035"/>
    <w:rsid w:val="00BF2A8C"/>
    <w:rsid w:val="00BF330C"/>
    <w:rsid w:val="00BF4665"/>
    <w:rsid w:val="00BF5872"/>
    <w:rsid w:val="00BF5B09"/>
    <w:rsid w:val="00BF70E0"/>
    <w:rsid w:val="00BF7A94"/>
    <w:rsid w:val="00C00322"/>
    <w:rsid w:val="00C01CD4"/>
    <w:rsid w:val="00C02164"/>
    <w:rsid w:val="00C028A7"/>
    <w:rsid w:val="00C03EC5"/>
    <w:rsid w:val="00C043BD"/>
    <w:rsid w:val="00C069E9"/>
    <w:rsid w:val="00C0764E"/>
    <w:rsid w:val="00C07677"/>
    <w:rsid w:val="00C137CA"/>
    <w:rsid w:val="00C152D6"/>
    <w:rsid w:val="00C15E1F"/>
    <w:rsid w:val="00C17B7B"/>
    <w:rsid w:val="00C204A9"/>
    <w:rsid w:val="00C206AD"/>
    <w:rsid w:val="00C20F06"/>
    <w:rsid w:val="00C2275A"/>
    <w:rsid w:val="00C22EE7"/>
    <w:rsid w:val="00C23050"/>
    <w:rsid w:val="00C25461"/>
    <w:rsid w:val="00C25F94"/>
    <w:rsid w:val="00C26EEC"/>
    <w:rsid w:val="00C30604"/>
    <w:rsid w:val="00C3261A"/>
    <w:rsid w:val="00C3398E"/>
    <w:rsid w:val="00C3601A"/>
    <w:rsid w:val="00C37010"/>
    <w:rsid w:val="00C40C1A"/>
    <w:rsid w:val="00C47F92"/>
    <w:rsid w:val="00C50258"/>
    <w:rsid w:val="00C5105A"/>
    <w:rsid w:val="00C52BE5"/>
    <w:rsid w:val="00C536C2"/>
    <w:rsid w:val="00C56FD0"/>
    <w:rsid w:val="00C62CCB"/>
    <w:rsid w:val="00C645B2"/>
    <w:rsid w:val="00C65656"/>
    <w:rsid w:val="00C66CA9"/>
    <w:rsid w:val="00C66FBE"/>
    <w:rsid w:val="00C67941"/>
    <w:rsid w:val="00C7076D"/>
    <w:rsid w:val="00C7182F"/>
    <w:rsid w:val="00C738A7"/>
    <w:rsid w:val="00C75495"/>
    <w:rsid w:val="00C76B69"/>
    <w:rsid w:val="00C77D9E"/>
    <w:rsid w:val="00C77DBC"/>
    <w:rsid w:val="00C83192"/>
    <w:rsid w:val="00C832A2"/>
    <w:rsid w:val="00C8703F"/>
    <w:rsid w:val="00C874AD"/>
    <w:rsid w:val="00C87970"/>
    <w:rsid w:val="00C87994"/>
    <w:rsid w:val="00C9107C"/>
    <w:rsid w:val="00C92FB7"/>
    <w:rsid w:val="00C93A78"/>
    <w:rsid w:val="00C95A40"/>
    <w:rsid w:val="00C96273"/>
    <w:rsid w:val="00C96BE7"/>
    <w:rsid w:val="00C97CD5"/>
    <w:rsid w:val="00CA1927"/>
    <w:rsid w:val="00CA1E4C"/>
    <w:rsid w:val="00CA2160"/>
    <w:rsid w:val="00CA261B"/>
    <w:rsid w:val="00CA452E"/>
    <w:rsid w:val="00CA46F8"/>
    <w:rsid w:val="00CA4E27"/>
    <w:rsid w:val="00CA5A7B"/>
    <w:rsid w:val="00CA7B9F"/>
    <w:rsid w:val="00CB11F7"/>
    <w:rsid w:val="00CB2060"/>
    <w:rsid w:val="00CB3299"/>
    <w:rsid w:val="00CB3B1A"/>
    <w:rsid w:val="00CB3DB7"/>
    <w:rsid w:val="00CB57CA"/>
    <w:rsid w:val="00CB58C3"/>
    <w:rsid w:val="00CC05A3"/>
    <w:rsid w:val="00CC1604"/>
    <w:rsid w:val="00CC1C00"/>
    <w:rsid w:val="00CC280A"/>
    <w:rsid w:val="00CC2E02"/>
    <w:rsid w:val="00CC4E85"/>
    <w:rsid w:val="00CC7D73"/>
    <w:rsid w:val="00CD28B8"/>
    <w:rsid w:val="00CD393F"/>
    <w:rsid w:val="00CD547A"/>
    <w:rsid w:val="00CD54AB"/>
    <w:rsid w:val="00CD67B9"/>
    <w:rsid w:val="00CD6FFC"/>
    <w:rsid w:val="00CE1ADE"/>
    <w:rsid w:val="00CE1B7A"/>
    <w:rsid w:val="00CE1D14"/>
    <w:rsid w:val="00CE1E9F"/>
    <w:rsid w:val="00CE4BF5"/>
    <w:rsid w:val="00CE67EF"/>
    <w:rsid w:val="00CF168A"/>
    <w:rsid w:val="00CF17CC"/>
    <w:rsid w:val="00CF28A3"/>
    <w:rsid w:val="00CF37FA"/>
    <w:rsid w:val="00CF3EBF"/>
    <w:rsid w:val="00CF4423"/>
    <w:rsid w:val="00CF66C1"/>
    <w:rsid w:val="00D012E0"/>
    <w:rsid w:val="00D0148C"/>
    <w:rsid w:val="00D01693"/>
    <w:rsid w:val="00D01F7A"/>
    <w:rsid w:val="00D023F5"/>
    <w:rsid w:val="00D0292C"/>
    <w:rsid w:val="00D0645C"/>
    <w:rsid w:val="00D1108F"/>
    <w:rsid w:val="00D114EE"/>
    <w:rsid w:val="00D12455"/>
    <w:rsid w:val="00D14128"/>
    <w:rsid w:val="00D141EE"/>
    <w:rsid w:val="00D14C30"/>
    <w:rsid w:val="00D14FA2"/>
    <w:rsid w:val="00D15465"/>
    <w:rsid w:val="00D1640C"/>
    <w:rsid w:val="00D16CF3"/>
    <w:rsid w:val="00D17C43"/>
    <w:rsid w:val="00D17EE8"/>
    <w:rsid w:val="00D204D8"/>
    <w:rsid w:val="00D2116D"/>
    <w:rsid w:val="00D213D6"/>
    <w:rsid w:val="00D2153D"/>
    <w:rsid w:val="00D25589"/>
    <w:rsid w:val="00D34158"/>
    <w:rsid w:val="00D349C6"/>
    <w:rsid w:val="00D3645E"/>
    <w:rsid w:val="00D40FC6"/>
    <w:rsid w:val="00D430C5"/>
    <w:rsid w:val="00D43A83"/>
    <w:rsid w:val="00D44C74"/>
    <w:rsid w:val="00D471D1"/>
    <w:rsid w:val="00D512B7"/>
    <w:rsid w:val="00D515BB"/>
    <w:rsid w:val="00D53888"/>
    <w:rsid w:val="00D57FA4"/>
    <w:rsid w:val="00D6215F"/>
    <w:rsid w:val="00D62434"/>
    <w:rsid w:val="00D632C4"/>
    <w:rsid w:val="00D63741"/>
    <w:rsid w:val="00D65705"/>
    <w:rsid w:val="00D65885"/>
    <w:rsid w:val="00D65D9B"/>
    <w:rsid w:val="00D661F7"/>
    <w:rsid w:val="00D66F20"/>
    <w:rsid w:val="00D7140F"/>
    <w:rsid w:val="00D71972"/>
    <w:rsid w:val="00D748A9"/>
    <w:rsid w:val="00D76180"/>
    <w:rsid w:val="00D7696B"/>
    <w:rsid w:val="00D77883"/>
    <w:rsid w:val="00D8173C"/>
    <w:rsid w:val="00D835AD"/>
    <w:rsid w:val="00D83FB0"/>
    <w:rsid w:val="00D847E7"/>
    <w:rsid w:val="00D85180"/>
    <w:rsid w:val="00D85E00"/>
    <w:rsid w:val="00D86383"/>
    <w:rsid w:val="00D86FD8"/>
    <w:rsid w:val="00D87849"/>
    <w:rsid w:val="00D917AF"/>
    <w:rsid w:val="00D92237"/>
    <w:rsid w:val="00D953E0"/>
    <w:rsid w:val="00D959C7"/>
    <w:rsid w:val="00D9689E"/>
    <w:rsid w:val="00DA2177"/>
    <w:rsid w:val="00DA2652"/>
    <w:rsid w:val="00DB2827"/>
    <w:rsid w:val="00DB3DDF"/>
    <w:rsid w:val="00DB44BA"/>
    <w:rsid w:val="00DB4B98"/>
    <w:rsid w:val="00DB4DAF"/>
    <w:rsid w:val="00DB54BB"/>
    <w:rsid w:val="00DB6C6E"/>
    <w:rsid w:val="00DC0DF5"/>
    <w:rsid w:val="00DC1A7A"/>
    <w:rsid w:val="00DC45BC"/>
    <w:rsid w:val="00DC6CDB"/>
    <w:rsid w:val="00DD0871"/>
    <w:rsid w:val="00DD163B"/>
    <w:rsid w:val="00DD2749"/>
    <w:rsid w:val="00DD2811"/>
    <w:rsid w:val="00DD3DEF"/>
    <w:rsid w:val="00DD6C0D"/>
    <w:rsid w:val="00DE175A"/>
    <w:rsid w:val="00DE7889"/>
    <w:rsid w:val="00DF088F"/>
    <w:rsid w:val="00DF201C"/>
    <w:rsid w:val="00DF2C41"/>
    <w:rsid w:val="00DF329C"/>
    <w:rsid w:val="00DF3689"/>
    <w:rsid w:val="00DF43F2"/>
    <w:rsid w:val="00DF5377"/>
    <w:rsid w:val="00DF53DD"/>
    <w:rsid w:val="00DF7153"/>
    <w:rsid w:val="00E001B8"/>
    <w:rsid w:val="00E01BED"/>
    <w:rsid w:val="00E02065"/>
    <w:rsid w:val="00E025F9"/>
    <w:rsid w:val="00E02F53"/>
    <w:rsid w:val="00E058CD"/>
    <w:rsid w:val="00E14DCA"/>
    <w:rsid w:val="00E14F57"/>
    <w:rsid w:val="00E21433"/>
    <w:rsid w:val="00E2316B"/>
    <w:rsid w:val="00E23337"/>
    <w:rsid w:val="00E275F3"/>
    <w:rsid w:val="00E3053B"/>
    <w:rsid w:val="00E3079B"/>
    <w:rsid w:val="00E32350"/>
    <w:rsid w:val="00E328C5"/>
    <w:rsid w:val="00E32EDD"/>
    <w:rsid w:val="00E33C6F"/>
    <w:rsid w:val="00E34282"/>
    <w:rsid w:val="00E3452D"/>
    <w:rsid w:val="00E34D14"/>
    <w:rsid w:val="00E3602D"/>
    <w:rsid w:val="00E36D64"/>
    <w:rsid w:val="00E415A4"/>
    <w:rsid w:val="00E42891"/>
    <w:rsid w:val="00E468A4"/>
    <w:rsid w:val="00E4763D"/>
    <w:rsid w:val="00E50CEE"/>
    <w:rsid w:val="00E51C38"/>
    <w:rsid w:val="00E54BD2"/>
    <w:rsid w:val="00E54CCB"/>
    <w:rsid w:val="00E55BFA"/>
    <w:rsid w:val="00E57BD0"/>
    <w:rsid w:val="00E64795"/>
    <w:rsid w:val="00E655F3"/>
    <w:rsid w:val="00E67D8A"/>
    <w:rsid w:val="00E67E52"/>
    <w:rsid w:val="00E70C48"/>
    <w:rsid w:val="00E715A5"/>
    <w:rsid w:val="00E738B3"/>
    <w:rsid w:val="00E7398C"/>
    <w:rsid w:val="00E73C5C"/>
    <w:rsid w:val="00E76DDE"/>
    <w:rsid w:val="00E77825"/>
    <w:rsid w:val="00E77B0E"/>
    <w:rsid w:val="00E817AB"/>
    <w:rsid w:val="00E828CB"/>
    <w:rsid w:val="00E84F2B"/>
    <w:rsid w:val="00E867F9"/>
    <w:rsid w:val="00E86CF5"/>
    <w:rsid w:val="00E87805"/>
    <w:rsid w:val="00E878CB"/>
    <w:rsid w:val="00E902A5"/>
    <w:rsid w:val="00E91026"/>
    <w:rsid w:val="00E91DDA"/>
    <w:rsid w:val="00E925D9"/>
    <w:rsid w:val="00E93B6D"/>
    <w:rsid w:val="00E93E83"/>
    <w:rsid w:val="00E9447C"/>
    <w:rsid w:val="00E96BCE"/>
    <w:rsid w:val="00E97601"/>
    <w:rsid w:val="00EA0B2F"/>
    <w:rsid w:val="00EA40D0"/>
    <w:rsid w:val="00EA679F"/>
    <w:rsid w:val="00EA72E4"/>
    <w:rsid w:val="00EB1198"/>
    <w:rsid w:val="00EB248C"/>
    <w:rsid w:val="00EB2F20"/>
    <w:rsid w:val="00EB3D20"/>
    <w:rsid w:val="00EB3FCE"/>
    <w:rsid w:val="00EB6002"/>
    <w:rsid w:val="00EB61CC"/>
    <w:rsid w:val="00EC1268"/>
    <w:rsid w:val="00EC1F0A"/>
    <w:rsid w:val="00EC3742"/>
    <w:rsid w:val="00EC510D"/>
    <w:rsid w:val="00EC593B"/>
    <w:rsid w:val="00EC5B79"/>
    <w:rsid w:val="00EC6398"/>
    <w:rsid w:val="00EC7CFB"/>
    <w:rsid w:val="00ED02D4"/>
    <w:rsid w:val="00ED0366"/>
    <w:rsid w:val="00ED19F3"/>
    <w:rsid w:val="00ED349D"/>
    <w:rsid w:val="00ED6637"/>
    <w:rsid w:val="00ED6A90"/>
    <w:rsid w:val="00EE2972"/>
    <w:rsid w:val="00EE2ECC"/>
    <w:rsid w:val="00EE3389"/>
    <w:rsid w:val="00EE4A58"/>
    <w:rsid w:val="00EF223F"/>
    <w:rsid w:val="00EF2F5D"/>
    <w:rsid w:val="00EF3E65"/>
    <w:rsid w:val="00EF59C7"/>
    <w:rsid w:val="00F005A7"/>
    <w:rsid w:val="00F02753"/>
    <w:rsid w:val="00F069FB"/>
    <w:rsid w:val="00F07187"/>
    <w:rsid w:val="00F07363"/>
    <w:rsid w:val="00F10771"/>
    <w:rsid w:val="00F12658"/>
    <w:rsid w:val="00F14FA2"/>
    <w:rsid w:val="00F156D0"/>
    <w:rsid w:val="00F15EAC"/>
    <w:rsid w:val="00F164F1"/>
    <w:rsid w:val="00F17406"/>
    <w:rsid w:val="00F212D9"/>
    <w:rsid w:val="00F232C1"/>
    <w:rsid w:val="00F24463"/>
    <w:rsid w:val="00F246E2"/>
    <w:rsid w:val="00F253A7"/>
    <w:rsid w:val="00F25904"/>
    <w:rsid w:val="00F26B19"/>
    <w:rsid w:val="00F2759D"/>
    <w:rsid w:val="00F31C9B"/>
    <w:rsid w:val="00F32A49"/>
    <w:rsid w:val="00F3419D"/>
    <w:rsid w:val="00F379AE"/>
    <w:rsid w:val="00F408B8"/>
    <w:rsid w:val="00F43974"/>
    <w:rsid w:val="00F440C0"/>
    <w:rsid w:val="00F44648"/>
    <w:rsid w:val="00F46731"/>
    <w:rsid w:val="00F51D94"/>
    <w:rsid w:val="00F5378F"/>
    <w:rsid w:val="00F5455A"/>
    <w:rsid w:val="00F54DC6"/>
    <w:rsid w:val="00F550CC"/>
    <w:rsid w:val="00F57007"/>
    <w:rsid w:val="00F605B9"/>
    <w:rsid w:val="00F613D6"/>
    <w:rsid w:val="00F6576C"/>
    <w:rsid w:val="00F66937"/>
    <w:rsid w:val="00F66957"/>
    <w:rsid w:val="00F67184"/>
    <w:rsid w:val="00F70018"/>
    <w:rsid w:val="00F70D03"/>
    <w:rsid w:val="00F718FB"/>
    <w:rsid w:val="00F73221"/>
    <w:rsid w:val="00F735C3"/>
    <w:rsid w:val="00F75091"/>
    <w:rsid w:val="00F77D81"/>
    <w:rsid w:val="00F81FB0"/>
    <w:rsid w:val="00F85A08"/>
    <w:rsid w:val="00F874F1"/>
    <w:rsid w:val="00F875BD"/>
    <w:rsid w:val="00F911FA"/>
    <w:rsid w:val="00F92AFF"/>
    <w:rsid w:val="00F941F8"/>
    <w:rsid w:val="00F94B40"/>
    <w:rsid w:val="00F94E04"/>
    <w:rsid w:val="00F9513A"/>
    <w:rsid w:val="00F95524"/>
    <w:rsid w:val="00F9779B"/>
    <w:rsid w:val="00FA0246"/>
    <w:rsid w:val="00FA0C43"/>
    <w:rsid w:val="00FA308D"/>
    <w:rsid w:val="00FA32BB"/>
    <w:rsid w:val="00FA382C"/>
    <w:rsid w:val="00FA484D"/>
    <w:rsid w:val="00FA4B20"/>
    <w:rsid w:val="00FA626C"/>
    <w:rsid w:val="00FA70C8"/>
    <w:rsid w:val="00FA7D95"/>
    <w:rsid w:val="00FB1521"/>
    <w:rsid w:val="00FB2FD8"/>
    <w:rsid w:val="00FB3011"/>
    <w:rsid w:val="00FB3890"/>
    <w:rsid w:val="00FB495C"/>
    <w:rsid w:val="00FB59CB"/>
    <w:rsid w:val="00FB624D"/>
    <w:rsid w:val="00FB62D0"/>
    <w:rsid w:val="00FB62DA"/>
    <w:rsid w:val="00FB6378"/>
    <w:rsid w:val="00FC01A6"/>
    <w:rsid w:val="00FC0721"/>
    <w:rsid w:val="00FC3470"/>
    <w:rsid w:val="00FC359E"/>
    <w:rsid w:val="00FC38B7"/>
    <w:rsid w:val="00FC5207"/>
    <w:rsid w:val="00FC574F"/>
    <w:rsid w:val="00FD0293"/>
    <w:rsid w:val="00FD17EF"/>
    <w:rsid w:val="00FD3F17"/>
    <w:rsid w:val="00FD4901"/>
    <w:rsid w:val="00FD5879"/>
    <w:rsid w:val="00FE093E"/>
    <w:rsid w:val="00FE6446"/>
    <w:rsid w:val="00FE662B"/>
    <w:rsid w:val="00FE797F"/>
    <w:rsid w:val="00FF2285"/>
    <w:rsid w:val="00FF3C19"/>
    <w:rsid w:val="00FF666F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895EF"/>
  <w15:docId w15:val="{FA92833B-0472-46E5-B95B-9B3B8B36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19E"/>
    <w:pPr>
      <w:spacing w:after="0" w:line="240" w:lineRule="auto"/>
    </w:pPr>
    <w:rPr>
      <w:rFonts w:ascii="Calibri" w:hAnsi="Calibri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AD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A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E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F07187"/>
    <w:pPr>
      <w:spacing w:after="160" w:line="259" w:lineRule="auto"/>
      <w:ind w:left="720"/>
      <w:contextualSpacing/>
    </w:pPr>
    <w:rPr>
      <w:rFonts w:asciiTheme="minorHAnsi" w:hAnsiTheme="minorHAnsi" w:cstheme="minorBidi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5B1132"/>
    <w:pPr>
      <w:tabs>
        <w:tab w:val="center" w:pos="4536"/>
        <w:tab w:val="right" w:pos="9072"/>
      </w:tabs>
    </w:pPr>
    <w:rPr>
      <w:rFonts w:asciiTheme="minorHAnsi" w:hAnsiTheme="minorHAnsi" w:cstheme="minorBidi"/>
      <w:lang w:val="bg-BG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1132"/>
  </w:style>
  <w:style w:type="paragraph" w:styleId="Footer">
    <w:name w:val="footer"/>
    <w:basedOn w:val="Normal"/>
    <w:link w:val="FooterChar"/>
    <w:uiPriority w:val="99"/>
    <w:unhideWhenUsed/>
    <w:rsid w:val="005B1132"/>
    <w:pPr>
      <w:tabs>
        <w:tab w:val="center" w:pos="4536"/>
        <w:tab w:val="right" w:pos="9072"/>
      </w:tabs>
    </w:pPr>
    <w:rPr>
      <w:rFonts w:asciiTheme="minorHAnsi" w:hAnsiTheme="minorHAnsi" w:cstheme="minorBidi"/>
      <w:lang w:val="bg-BG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1132"/>
  </w:style>
  <w:style w:type="paragraph" w:styleId="TOCHeading">
    <w:name w:val="TOC Heading"/>
    <w:basedOn w:val="Heading1"/>
    <w:next w:val="Normal"/>
    <w:uiPriority w:val="39"/>
    <w:unhideWhenUsed/>
    <w:qFormat/>
    <w:rsid w:val="002053D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5455A"/>
    <w:pPr>
      <w:tabs>
        <w:tab w:val="right" w:leader="dot" w:pos="9360"/>
      </w:tabs>
      <w:spacing w:after="100" w:line="259" w:lineRule="auto"/>
    </w:pPr>
    <w:rPr>
      <w:rFonts w:asciiTheme="minorHAnsi" w:hAnsiTheme="minorHAnsi" w:cstheme="minorBidi"/>
      <w:lang w:val="bg-BG" w:eastAsia="en-US"/>
    </w:rPr>
  </w:style>
  <w:style w:type="character" w:styleId="Hyperlink">
    <w:name w:val="Hyperlink"/>
    <w:basedOn w:val="DefaultParagraphFont"/>
    <w:uiPriority w:val="99"/>
    <w:unhideWhenUsed/>
    <w:rsid w:val="002053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3DEF"/>
    <w:rPr>
      <w:rFonts w:asciiTheme="minorHAnsi" w:hAnsiTheme="minorHAnsi" w:cstheme="minorBidi"/>
      <w:sz w:val="20"/>
      <w:szCs w:val="20"/>
      <w:lang w:val="bg-BG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3D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3DEF"/>
    <w:rPr>
      <w:vertAlign w:val="superscript"/>
    </w:rPr>
  </w:style>
  <w:style w:type="paragraph" w:styleId="Revision">
    <w:name w:val="Revision"/>
    <w:hidden/>
    <w:uiPriority w:val="99"/>
    <w:semiHidden/>
    <w:rsid w:val="00A83A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7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2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2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2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2D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51D94"/>
    <w:rPr>
      <w:color w:val="954F72" w:themeColor="followedHyperlink"/>
      <w:u w:val="single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C02164"/>
  </w:style>
  <w:style w:type="paragraph" w:styleId="EndnoteText">
    <w:name w:val="endnote text"/>
    <w:basedOn w:val="Normal"/>
    <w:link w:val="EndnoteTextChar"/>
    <w:uiPriority w:val="99"/>
    <w:semiHidden/>
    <w:unhideWhenUsed/>
    <w:rsid w:val="00A868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8683C"/>
    <w:rPr>
      <w:rFonts w:ascii="Calibri" w:hAnsi="Calibri" w:cs="Times New Roman"/>
      <w:sz w:val="20"/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A86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p2023.bg/index.php/bg/sprzsr-bg/celi/specificna-cel-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p2023.bg/index.php/bg/sprzsr-bg/celi/specificna-cel-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eu.dfz.bg/seu/f?p=727:LOGIN_DESKTOP::::::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p2023.bg/index.php/bg/sprzsr-bg/cel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-cap-network.ec.europa.eu/projects/practice-abstracts_en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mi.government.bg/strategy-policy/deklaratsiya-za-msp-i-ukazaniya-za-popalvane/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E13F6-71D0-442A-8859-CB92806A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28</Pages>
  <Words>10662</Words>
  <Characters>60779</Characters>
  <Application>Microsoft Office Word</Application>
  <DocSecurity>0</DocSecurity>
  <Lines>506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 M. Krastev</dc:creator>
  <cp:lastModifiedBy>Venislava Boyadzhieva</cp:lastModifiedBy>
  <cp:revision>61</cp:revision>
  <cp:lastPrinted>2025-09-30T07:48:00Z</cp:lastPrinted>
  <dcterms:created xsi:type="dcterms:W3CDTF">2025-10-27T12:07:00Z</dcterms:created>
  <dcterms:modified xsi:type="dcterms:W3CDTF">2025-10-30T13:53:00Z</dcterms:modified>
</cp:coreProperties>
</file>